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50" w:rsidRDefault="00D30549">
      <w:pPr>
        <w:spacing w:line="360" w:lineRule="auto"/>
        <w:jc w:val="center"/>
        <w:rPr>
          <w:rFonts w:cs="Times New Roman"/>
          <w:b/>
          <w:kern w:val="0"/>
          <w:sz w:val="30"/>
          <w:szCs w:val="30"/>
        </w:rPr>
      </w:pPr>
      <w:r>
        <w:rPr>
          <w:rFonts w:cs="Times New Roman" w:hint="eastAsia"/>
          <w:b/>
          <w:kern w:val="0"/>
          <w:sz w:val="30"/>
          <w:szCs w:val="30"/>
        </w:rPr>
        <w:t>沈阳机床股份有限公司</w:t>
      </w:r>
    </w:p>
    <w:p w:rsidR="004C3E50" w:rsidRDefault="00D30549">
      <w:pPr>
        <w:spacing w:line="360" w:lineRule="auto"/>
        <w:jc w:val="center"/>
        <w:rPr>
          <w:rFonts w:cs="Times New Roman"/>
          <w:b/>
          <w:kern w:val="0"/>
          <w:sz w:val="30"/>
          <w:szCs w:val="30"/>
        </w:rPr>
      </w:pPr>
      <w:r>
        <w:rPr>
          <w:rFonts w:cs="Times New Roman" w:hint="eastAsia"/>
          <w:b/>
          <w:kern w:val="0"/>
          <w:sz w:val="30"/>
          <w:szCs w:val="30"/>
        </w:rPr>
        <w:t>关于披露发行股份购买资产并募集配套资金暨</w:t>
      </w:r>
    </w:p>
    <w:p w:rsidR="004C3E50" w:rsidRDefault="00D30549">
      <w:pPr>
        <w:spacing w:line="360" w:lineRule="auto"/>
        <w:jc w:val="center"/>
        <w:rPr>
          <w:rFonts w:cs="Times New Roman"/>
          <w:b/>
          <w:kern w:val="0"/>
          <w:sz w:val="30"/>
          <w:szCs w:val="30"/>
        </w:rPr>
      </w:pPr>
      <w:r>
        <w:rPr>
          <w:rFonts w:cs="Times New Roman" w:hint="eastAsia"/>
          <w:b/>
          <w:kern w:val="0"/>
          <w:sz w:val="30"/>
          <w:szCs w:val="30"/>
        </w:rPr>
        <w:t>关联交易报告书（草案）与预案差异情况对比说明</w:t>
      </w:r>
    </w:p>
    <w:p w:rsidR="004C3E50" w:rsidRDefault="00D30549">
      <w:pPr>
        <w:widowControl/>
        <w:spacing w:beforeLines="50" w:before="156" w:line="360" w:lineRule="auto"/>
        <w:ind w:firstLineChars="200" w:firstLine="480"/>
        <w:rPr>
          <w:rFonts w:cs="Times New Roman"/>
          <w:kern w:val="0"/>
          <w:szCs w:val="24"/>
        </w:rPr>
      </w:pPr>
      <w:r>
        <w:rPr>
          <w:rFonts w:cs="Times New Roman" w:hint="eastAsia"/>
          <w:kern w:val="0"/>
          <w:szCs w:val="24"/>
        </w:rPr>
        <w:t>20</w:t>
      </w:r>
      <w:r>
        <w:rPr>
          <w:rFonts w:cs="Times New Roman"/>
          <w:kern w:val="0"/>
          <w:szCs w:val="24"/>
        </w:rPr>
        <w:t>23</w:t>
      </w:r>
      <w:r>
        <w:rPr>
          <w:rFonts w:cs="Times New Roman" w:hint="eastAsia"/>
          <w:kern w:val="0"/>
          <w:szCs w:val="24"/>
        </w:rPr>
        <w:t>年</w:t>
      </w:r>
      <w:r>
        <w:rPr>
          <w:rFonts w:cs="Times New Roman"/>
          <w:kern w:val="0"/>
          <w:szCs w:val="24"/>
        </w:rPr>
        <w:t>10</w:t>
      </w:r>
      <w:r>
        <w:rPr>
          <w:rFonts w:cs="Times New Roman" w:hint="eastAsia"/>
          <w:kern w:val="0"/>
          <w:szCs w:val="24"/>
        </w:rPr>
        <w:t>月</w:t>
      </w:r>
      <w:r>
        <w:rPr>
          <w:rFonts w:cs="Times New Roman" w:hint="eastAsia"/>
          <w:kern w:val="0"/>
          <w:szCs w:val="24"/>
        </w:rPr>
        <w:t>2</w:t>
      </w:r>
      <w:r>
        <w:rPr>
          <w:rFonts w:cs="Times New Roman"/>
          <w:kern w:val="0"/>
          <w:szCs w:val="24"/>
        </w:rPr>
        <w:t>0</w:t>
      </w:r>
      <w:r>
        <w:rPr>
          <w:rFonts w:cs="Times New Roman" w:hint="eastAsia"/>
          <w:kern w:val="0"/>
          <w:szCs w:val="24"/>
        </w:rPr>
        <w:t>日，沈阳机床披露了《沈阳机床</w:t>
      </w:r>
      <w:r>
        <w:rPr>
          <w:rFonts w:cs="Times New Roman" w:hint="eastAsia"/>
          <w:szCs w:val="24"/>
        </w:rPr>
        <w:t>股份有限公司发行股份购买资产并募集配套资金暨关联交易预案</w:t>
      </w:r>
      <w:r>
        <w:rPr>
          <w:rFonts w:cs="Times New Roman" w:hint="eastAsia"/>
          <w:kern w:val="0"/>
          <w:szCs w:val="24"/>
        </w:rPr>
        <w:t>》（以下简称“重组预案”）及相关公告。</w:t>
      </w:r>
    </w:p>
    <w:p w:rsidR="004C3E50" w:rsidRDefault="00D30549">
      <w:pPr>
        <w:widowControl/>
        <w:spacing w:beforeLines="50" w:before="156" w:line="360" w:lineRule="auto"/>
        <w:ind w:firstLineChars="200" w:firstLine="480"/>
        <w:rPr>
          <w:rFonts w:cs="Times New Roman"/>
          <w:kern w:val="0"/>
          <w:szCs w:val="24"/>
        </w:rPr>
      </w:pPr>
      <w:r>
        <w:rPr>
          <w:rFonts w:cs="Times New Roman" w:hint="eastAsia"/>
          <w:kern w:val="0"/>
          <w:szCs w:val="24"/>
        </w:rPr>
        <w:t>20</w:t>
      </w:r>
      <w:r>
        <w:rPr>
          <w:rFonts w:cs="Times New Roman"/>
          <w:kern w:val="0"/>
          <w:szCs w:val="24"/>
        </w:rPr>
        <w:t>24</w:t>
      </w:r>
      <w:r>
        <w:rPr>
          <w:rFonts w:cs="Times New Roman" w:hint="eastAsia"/>
          <w:kern w:val="0"/>
          <w:szCs w:val="24"/>
        </w:rPr>
        <w:t>年</w:t>
      </w:r>
      <w:r>
        <w:rPr>
          <w:rFonts w:cs="Times New Roman" w:hint="eastAsia"/>
          <w:kern w:val="0"/>
          <w:szCs w:val="24"/>
        </w:rPr>
        <w:t>4</w:t>
      </w:r>
      <w:r>
        <w:rPr>
          <w:rFonts w:cs="Times New Roman" w:hint="eastAsia"/>
          <w:kern w:val="0"/>
          <w:szCs w:val="24"/>
        </w:rPr>
        <w:t>月</w:t>
      </w:r>
      <w:r>
        <w:rPr>
          <w:rFonts w:cs="Times New Roman" w:hint="eastAsia"/>
          <w:kern w:val="0"/>
          <w:szCs w:val="24"/>
        </w:rPr>
        <w:t>1</w:t>
      </w:r>
      <w:r>
        <w:rPr>
          <w:rFonts w:cs="Times New Roman" w:hint="eastAsia"/>
          <w:kern w:val="0"/>
          <w:szCs w:val="24"/>
        </w:rPr>
        <w:t>日，沈阳机床召开第十届董事会第六次会议，审议通过了《沈阳机床</w:t>
      </w:r>
      <w:r>
        <w:rPr>
          <w:rFonts w:cs="Times New Roman" w:hint="eastAsia"/>
          <w:szCs w:val="24"/>
        </w:rPr>
        <w:t>股份有限公司发行股份购买资产并募集配套资金暨关联交易报告书（草案）</w:t>
      </w:r>
      <w:r>
        <w:rPr>
          <w:rFonts w:cs="Times New Roman" w:hint="eastAsia"/>
          <w:kern w:val="0"/>
          <w:szCs w:val="24"/>
        </w:rPr>
        <w:t>》（以下简称“重组报告书”）等相关议案。</w:t>
      </w:r>
    </w:p>
    <w:p w:rsidR="004C3E50" w:rsidRDefault="00D30549">
      <w:pPr>
        <w:widowControl/>
        <w:spacing w:beforeLines="50" w:before="156" w:line="360" w:lineRule="auto"/>
        <w:ind w:firstLineChars="200" w:firstLine="480"/>
        <w:rPr>
          <w:rFonts w:cs="Times New Roman"/>
        </w:rPr>
      </w:pPr>
      <w:r>
        <w:rPr>
          <w:rFonts w:cs="Times New Roman"/>
          <w:kern w:val="0"/>
          <w:szCs w:val="24"/>
        </w:rPr>
        <w:t>重组报告书与重组预案的主要差异情况如下：</w:t>
      </w:r>
    </w:p>
    <w:tbl>
      <w:tblPr>
        <w:tblStyle w:val="40"/>
        <w:tblW w:w="5297"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8"/>
        <w:gridCol w:w="1829"/>
        <w:gridCol w:w="5378"/>
      </w:tblGrid>
      <w:tr w:rsidR="004C3E50">
        <w:trPr>
          <w:trHeight w:val="340"/>
          <w:tblHeader/>
          <w:jc w:val="center"/>
        </w:trPr>
        <w:tc>
          <w:tcPr>
            <w:tcW w:w="1012" w:type="pct"/>
            <w:shd w:val="clear" w:color="auto" w:fill="auto"/>
            <w:vAlign w:val="center"/>
          </w:tcPr>
          <w:p w:rsidR="004C3E50" w:rsidRDefault="00D30549">
            <w:pPr>
              <w:ind w:leftChars="-30" w:left="-72" w:rightChars="-30" w:right="-72"/>
              <w:jc w:val="center"/>
              <w:rPr>
                <w:rFonts w:cs="Times New Roman"/>
                <w:b/>
                <w:color w:val="000000" w:themeColor="text1"/>
                <w:sz w:val="21"/>
                <w:szCs w:val="21"/>
              </w:rPr>
            </w:pPr>
            <w:r>
              <w:rPr>
                <w:rFonts w:cs="Times New Roman" w:hint="eastAsia"/>
                <w:b/>
                <w:color w:val="000000" w:themeColor="text1"/>
                <w:sz w:val="21"/>
                <w:szCs w:val="21"/>
              </w:rPr>
              <w:t>重组报告书</w:t>
            </w:r>
            <w:r>
              <w:rPr>
                <w:rFonts w:cs="Times New Roman"/>
                <w:b/>
                <w:color w:val="000000" w:themeColor="text1"/>
                <w:sz w:val="21"/>
                <w:szCs w:val="21"/>
              </w:rPr>
              <w:t>章节</w:t>
            </w:r>
          </w:p>
        </w:tc>
        <w:tc>
          <w:tcPr>
            <w:tcW w:w="1012" w:type="pct"/>
            <w:shd w:val="clear" w:color="auto" w:fill="auto"/>
            <w:vAlign w:val="center"/>
          </w:tcPr>
          <w:p w:rsidR="004C3E50" w:rsidRDefault="00D30549">
            <w:pPr>
              <w:pStyle w:val="Default"/>
              <w:adjustRightInd/>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重组预案章节</w:t>
            </w:r>
          </w:p>
        </w:tc>
        <w:tc>
          <w:tcPr>
            <w:tcW w:w="2976" w:type="pct"/>
            <w:shd w:val="clear" w:color="auto" w:fill="auto"/>
            <w:vAlign w:val="center"/>
          </w:tcPr>
          <w:p w:rsidR="004C3E50" w:rsidRDefault="00D30549">
            <w:pPr>
              <w:ind w:leftChars="-30" w:left="-72" w:rightChars="-30" w:right="-72"/>
              <w:jc w:val="center"/>
              <w:rPr>
                <w:rFonts w:cs="Times New Roman"/>
                <w:b/>
                <w:color w:val="000000" w:themeColor="text1"/>
                <w:sz w:val="21"/>
                <w:szCs w:val="21"/>
              </w:rPr>
            </w:pPr>
            <w:r>
              <w:rPr>
                <w:rFonts w:cs="Times New Roman"/>
                <w:b/>
                <w:color w:val="000000" w:themeColor="text1"/>
                <w:sz w:val="21"/>
                <w:szCs w:val="21"/>
              </w:rPr>
              <w:t>与重组预案差异情况说明</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color w:val="000000"/>
                <w:sz w:val="21"/>
                <w:szCs w:val="21"/>
              </w:rPr>
            </w:pPr>
            <w:r>
              <w:rPr>
                <w:rFonts w:cs="Times New Roman"/>
                <w:b/>
                <w:color w:val="000000"/>
                <w:sz w:val="21"/>
                <w:szCs w:val="21"/>
              </w:rPr>
              <w:t>声明</w:t>
            </w:r>
          </w:p>
        </w:tc>
        <w:tc>
          <w:tcPr>
            <w:tcW w:w="1012" w:type="pct"/>
            <w:shd w:val="clear" w:color="auto" w:fill="auto"/>
            <w:vAlign w:val="center"/>
          </w:tcPr>
          <w:p w:rsidR="004C3E50" w:rsidRDefault="00D30549">
            <w:pPr>
              <w:ind w:leftChars="-30" w:left="-72" w:rightChars="-30" w:right="-72"/>
              <w:jc w:val="center"/>
              <w:rPr>
                <w:rFonts w:cs="Times New Roman"/>
                <w:b/>
                <w:color w:val="000000"/>
                <w:sz w:val="21"/>
                <w:szCs w:val="21"/>
              </w:rPr>
            </w:pPr>
            <w:r>
              <w:rPr>
                <w:rFonts w:cs="Times New Roman"/>
                <w:b/>
                <w:bCs/>
                <w:color w:val="000000"/>
                <w:sz w:val="21"/>
                <w:szCs w:val="21"/>
              </w:rPr>
              <w:t>声明</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、更新上市公司声明、交易对方声明</w:t>
            </w:r>
            <w:r>
              <w:rPr>
                <w:rFonts w:ascii="Times New Roman" w:hAnsi="Times New Roman" w:cs="Times New Roman" w:hint="eastAsia"/>
                <w:sz w:val="21"/>
                <w:szCs w:val="21"/>
              </w:rPr>
              <w:t>；</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、补充</w:t>
            </w:r>
            <w:r>
              <w:rPr>
                <w:rFonts w:ascii="Times New Roman" w:hAnsi="Times New Roman" w:cs="Times New Roman"/>
                <w:sz w:val="21"/>
                <w:szCs w:val="21"/>
              </w:rPr>
              <w:t>相关证券服务机构及人员声明。</w:t>
            </w:r>
          </w:p>
        </w:tc>
      </w:tr>
      <w:tr w:rsidR="004C3E50">
        <w:trPr>
          <w:trHeight w:val="340"/>
          <w:jc w:val="center"/>
        </w:trPr>
        <w:tc>
          <w:tcPr>
            <w:tcW w:w="1012" w:type="pct"/>
            <w:shd w:val="clear" w:color="auto" w:fill="auto"/>
          </w:tcPr>
          <w:p w:rsidR="004C3E50" w:rsidRDefault="00D30549">
            <w:pPr>
              <w:ind w:leftChars="-30" w:left="-72" w:rightChars="-30" w:right="-72"/>
              <w:jc w:val="center"/>
              <w:rPr>
                <w:rFonts w:cs="Times New Roman"/>
                <w:b/>
                <w:color w:val="000000"/>
                <w:sz w:val="21"/>
                <w:szCs w:val="21"/>
              </w:rPr>
            </w:pPr>
            <w:r>
              <w:rPr>
                <w:rFonts w:cs="Times New Roman"/>
                <w:b/>
                <w:color w:val="000000"/>
                <w:sz w:val="21"/>
                <w:szCs w:val="21"/>
              </w:rPr>
              <w:t>释义</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color w:val="000000"/>
                <w:sz w:val="21"/>
                <w:szCs w:val="21"/>
              </w:rPr>
              <w:t>释义</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、补充更新部分释义。</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color w:val="000000"/>
                <w:sz w:val="21"/>
                <w:szCs w:val="21"/>
              </w:rPr>
            </w:pPr>
            <w:r>
              <w:rPr>
                <w:rFonts w:cs="Times New Roman"/>
                <w:b/>
                <w:bCs/>
                <w:color w:val="000000"/>
                <w:sz w:val="21"/>
                <w:szCs w:val="21"/>
              </w:rPr>
              <w:t>重大事项提示</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重大事项提示</w:t>
            </w:r>
          </w:p>
        </w:tc>
        <w:tc>
          <w:tcPr>
            <w:tcW w:w="2976" w:type="pct"/>
            <w:shd w:val="clear" w:color="auto" w:fill="auto"/>
            <w:vAlign w:val="center"/>
          </w:tcPr>
          <w:p w:rsidR="004C3E50" w:rsidRDefault="00D30549">
            <w:pPr>
              <w:rPr>
                <w:rFonts w:cs="Times New Roman"/>
                <w:color w:val="000000"/>
                <w:sz w:val="21"/>
                <w:szCs w:val="21"/>
              </w:rPr>
            </w:pPr>
            <w:r>
              <w:rPr>
                <w:rFonts w:cs="Times New Roman"/>
                <w:color w:val="000000"/>
                <w:sz w:val="21"/>
                <w:szCs w:val="21"/>
              </w:rPr>
              <w:t>1</w:t>
            </w:r>
            <w:r>
              <w:rPr>
                <w:rFonts w:cs="Times New Roman" w:hint="eastAsia"/>
                <w:color w:val="000000"/>
                <w:sz w:val="21"/>
                <w:szCs w:val="21"/>
              </w:rPr>
              <w:t>、补充</w:t>
            </w:r>
            <w:r>
              <w:rPr>
                <w:rFonts w:cs="Times New Roman"/>
                <w:color w:val="000000"/>
                <w:sz w:val="21"/>
                <w:szCs w:val="21"/>
              </w:rPr>
              <w:t>更新本次交易</w:t>
            </w:r>
            <w:r>
              <w:rPr>
                <w:rFonts w:cs="Times New Roman" w:hint="eastAsia"/>
                <w:color w:val="000000"/>
                <w:sz w:val="21"/>
                <w:szCs w:val="21"/>
              </w:rPr>
              <w:t>具体</w:t>
            </w:r>
            <w:r>
              <w:rPr>
                <w:rFonts w:cs="Times New Roman"/>
                <w:color w:val="000000"/>
                <w:sz w:val="21"/>
                <w:szCs w:val="21"/>
              </w:rPr>
              <w:t>方案；</w:t>
            </w:r>
          </w:p>
          <w:p w:rsidR="004C3E50" w:rsidRDefault="00D30549">
            <w:pPr>
              <w:rPr>
                <w:rFonts w:cs="Times New Roman"/>
                <w:color w:val="000000"/>
                <w:sz w:val="21"/>
                <w:szCs w:val="21"/>
              </w:rPr>
            </w:pPr>
            <w:r>
              <w:rPr>
                <w:rFonts w:cs="Times New Roman"/>
                <w:color w:val="000000"/>
                <w:sz w:val="21"/>
                <w:szCs w:val="21"/>
              </w:rPr>
              <w:t>2</w:t>
            </w:r>
            <w:r>
              <w:rPr>
                <w:rFonts w:cs="Times New Roman"/>
                <w:color w:val="000000"/>
                <w:sz w:val="21"/>
                <w:szCs w:val="21"/>
              </w:rPr>
              <w:t>、</w:t>
            </w:r>
            <w:r>
              <w:rPr>
                <w:rFonts w:cs="Times New Roman" w:hint="eastAsia"/>
                <w:color w:val="000000"/>
                <w:sz w:val="21"/>
                <w:szCs w:val="21"/>
              </w:rPr>
              <w:t>补充更新募集配套资金情况</w:t>
            </w:r>
            <w:r>
              <w:rPr>
                <w:rFonts w:cs="Times New Roman"/>
                <w:color w:val="000000"/>
                <w:sz w:val="21"/>
                <w:szCs w:val="21"/>
              </w:rPr>
              <w:t>；</w:t>
            </w:r>
          </w:p>
          <w:p w:rsidR="004C3E50" w:rsidRDefault="00D30549">
            <w:pPr>
              <w:rPr>
                <w:rFonts w:cs="Times New Roman"/>
                <w:color w:val="000000"/>
                <w:sz w:val="21"/>
                <w:szCs w:val="21"/>
              </w:rPr>
            </w:pPr>
            <w:r>
              <w:rPr>
                <w:rFonts w:cs="Times New Roman" w:hint="eastAsia"/>
                <w:color w:val="000000"/>
                <w:sz w:val="21"/>
                <w:szCs w:val="21"/>
              </w:rPr>
              <w:t>3</w:t>
            </w:r>
            <w:r>
              <w:rPr>
                <w:rFonts w:cs="Times New Roman"/>
                <w:color w:val="000000"/>
                <w:sz w:val="21"/>
                <w:szCs w:val="21"/>
              </w:rPr>
              <w:t>、补充</w:t>
            </w:r>
            <w:r>
              <w:rPr>
                <w:rFonts w:cs="Times New Roman" w:hint="eastAsia"/>
                <w:color w:val="000000"/>
                <w:sz w:val="21"/>
                <w:szCs w:val="21"/>
              </w:rPr>
              <w:t>更新</w:t>
            </w:r>
            <w:r>
              <w:rPr>
                <w:rFonts w:cs="Times New Roman"/>
                <w:color w:val="000000"/>
                <w:sz w:val="21"/>
                <w:szCs w:val="21"/>
              </w:rPr>
              <w:t>本次交易对上市公司</w:t>
            </w:r>
            <w:r>
              <w:rPr>
                <w:rFonts w:cs="Times New Roman" w:hint="eastAsia"/>
                <w:color w:val="000000"/>
                <w:sz w:val="21"/>
                <w:szCs w:val="21"/>
              </w:rPr>
              <w:t>的</w:t>
            </w:r>
            <w:r>
              <w:rPr>
                <w:rFonts w:cs="Times New Roman"/>
                <w:color w:val="000000"/>
                <w:sz w:val="21"/>
                <w:szCs w:val="21"/>
              </w:rPr>
              <w:t>影响分析；</w:t>
            </w:r>
          </w:p>
          <w:p w:rsidR="004C3E50" w:rsidRDefault="00D30549">
            <w:pPr>
              <w:rPr>
                <w:rFonts w:cs="Times New Roman"/>
                <w:color w:val="000000"/>
                <w:sz w:val="21"/>
                <w:szCs w:val="21"/>
              </w:rPr>
            </w:pPr>
            <w:r>
              <w:rPr>
                <w:rFonts w:cs="Times New Roman" w:hint="eastAsia"/>
                <w:color w:val="000000"/>
                <w:sz w:val="21"/>
                <w:szCs w:val="21"/>
              </w:rPr>
              <w:t>4</w:t>
            </w:r>
            <w:r>
              <w:rPr>
                <w:rFonts w:cs="Times New Roman"/>
                <w:color w:val="000000"/>
                <w:sz w:val="21"/>
                <w:szCs w:val="21"/>
              </w:rPr>
              <w:t>、更新本次交易尚需履行的审批程序；</w:t>
            </w:r>
          </w:p>
          <w:p w:rsidR="004C3E50" w:rsidRDefault="00D30549">
            <w:pPr>
              <w:rPr>
                <w:rFonts w:cs="Times New Roman"/>
                <w:color w:val="000000"/>
                <w:sz w:val="21"/>
                <w:szCs w:val="21"/>
              </w:rPr>
            </w:pPr>
            <w:r>
              <w:rPr>
                <w:rFonts w:cs="Times New Roman" w:hint="eastAsia"/>
                <w:color w:val="000000"/>
                <w:sz w:val="21"/>
                <w:szCs w:val="21"/>
              </w:rPr>
              <w:t>5</w:t>
            </w:r>
            <w:r>
              <w:rPr>
                <w:rFonts w:cs="Times New Roman" w:hint="eastAsia"/>
                <w:color w:val="000000"/>
                <w:sz w:val="21"/>
                <w:szCs w:val="21"/>
              </w:rPr>
              <w:t>、更新本次重组对中小投资者权益保护的安排；</w:t>
            </w:r>
          </w:p>
          <w:p w:rsidR="004C3E50" w:rsidRDefault="00D30549">
            <w:pPr>
              <w:rPr>
                <w:rFonts w:cs="Times New Roman"/>
                <w:color w:val="000000"/>
                <w:sz w:val="21"/>
                <w:szCs w:val="21"/>
              </w:rPr>
            </w:pPr>
            <w:r>
              <w:rPr>
                <w:rFonts w:cs="Times New Roman" w:hint="eastAsia"/>
                <w:color w:val="000000"/>
                <w:sz w:val="21"/>
                <w:szCs w:val="21"/>
              </w:rPr>
              <w:t>6</w:t>
            </w:r>
            <w:r>
              <w:rPr>
                <w:rFonts w:cs="Times New Roman" w:hint="eastAsia"/>
                <w:color w:val="000000"/>
                <w:sz w:val="21"/>
                <w:szCs w:val="21"/>
              </w:rPr>
              <w:t>、补充本次交易独立财务顾问的证券业务资格。</w:t>
            </w:r>
          </w:p>
          <w:p w:rsidR="004C3E50" w:rsidRDefault="00D30549">
            <w:pPr>
              <w:rPr>
                <w:rFonts w:cs="Times New Roman"/>
                <w:color w:val="000000"/>
                <w:sz w:val="21"/>
                <w:szCs w:val="21"/>
              </w:rPr>
            </w:pPr>
            <w:r>
              <w:rPr>
                <w:rFonts w:cs="Times New Roman" w:hint="eastAsia"/>
                <w:color w:val="000000"/>
                <w:sz w:val="21"/>
                <w:szCs w:val="21"/>
              </w:rPr>
              <w:t>7</w:t>
            </w:r>
            <w:r>
              <w:rPr>
                <w:rFonts w:cs="Times New Roman" w:hint="eastAsia"/>
                <w:color w:val="000000"/>
                <w:sz w:val="21"/>
                <w:szCs w:val="21"/>
              </w:rPr>
              <w:t>、补充披露信息披露查阅；</w:t>
            </w:r>
          </w:p>
          <w:p w:rsidR="004C3E50" w:rsidRDefault="00D30549">
            <w:pPr>
              <w:rPr>
                <w:rFonts w:cs="Times New Roman"/>
                <w:color w:val="000000"/>
                <w:sz w:val="21"/>
                <w:szCs w:val="21"/>
              </w:rPr>
            </w:pPr>
            <w:r>
              <w:rPr>
                <w:rFonts w:cs="Times New Roman" w:hint="eastAsia"/>
                <w:color w:val="000000"/>
                <w:sz w:val="21"/>
                <w:szCs w:val="21"/>
              </w:rPr>
              <w:t>8</w:t>
            </w:r>
            <w:r>
              <w:rPr>
                <w:rFonts w:cs="Times New Roman" w:hint="eastAsia"/>
                <w:color w:val="000000"/>
                <w:sz w:val="21"/>
                <w:szCs w:val="21"/>
              </w:rPr>
              <w:t>、删除待补充披露的信息提示；</w:t>
            </w:r>
          </w:p>
          <w:p w:rsidR="004C3E50" w:rsidRDefault="00D30549">
            <w:pPr>
              <w:rPr>
                <w:rFonts w:cs="Times New Roman"/>
                <w:color w:val="000000"/>
                <w:sz w:val="21"/>
                <w:szCs w:val="21"/>
              </w:rPr>
            </w:pPr>
            <w:r>
              <w:rPr>
                <w:rFonts w:cs="Times New Roman" w:hint="eastAsia"/>
                <w:color w:val="000000"/>
                <w:sz w:val="21"/>
                <w:szCs w:val="21"/>
              </w:rPr>
              <w:t>9</w:t>
            </w:r>
            <w:r>
              <w:rPr>
                <w:rFonts w:cs="Times New Roman" w:hint="eastAsia"/>
                <w:color w:val="000000"/>
                <w:sz w:val="21"/>
                <w:szCs w:val="21"/>
              </w:rPr>
              <w:t>、删除本次交易相关方做出的重要承诺。</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color w:val="000000"/>
                <w:sz w:val="21"/>
                <w:szCs w:val="21"/>
              </w:rPr>
            </w:pPr>
            <w:r>
              <w:rPr>
                <w:rFonts w:cs="Times New Roman"/>
                <w:b/>
                <w:bCs/>
                <w:color w:val="000000"/>
                <w:sz w:val="21"/>
                <w:szCs w:val="21"/>
              </w:rPr>
              <w:t>重大风险提示</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重大风险提示</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、更新</w:t>
            </w:r>
            <w:r>
              <w:rPr>
                <w:rFonts w:ascii="Times New Roman" w:hAnsi="Times New Roman" w:cs="Times New Roman" w:hint="eastAsia"/>
                <w:sz w:val="21"/>
                <w:szCs w:val="21"/>
              </w:rPr>
              <w:t>与本次交易相关的风险；</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、更新与标的资产相关的风险；</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、补充财务风险；</w:t>
            </w:r>
          </w:p>
          <w:p w:rsidR="004C3E50" w:rsidRDefault="00D30549">
            <w:pPr>
              <w:pStyle w:val="Default"/>
              <w:adjustRightInd/>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w:t>
            </w:r>
            <w:r>
              <w:rPr>
                <w:rFonts w:ascii="Times New Roman" w:eastAsiaTheme="minorEastAsia" w:hAnsi="Times New Roman" w:cs="Times New Roman" w:hint="eastAsia"/>
                <w:sz w:val="21"/>
                <w:szCs w:val="21"/>
              </w:rPr>
              <w:t>、补充其他风险。</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color w:val="000000"/>
                <w:sz w:val="21"/>
                <w:szCs w:val="21"/>
              </w:rPr>
            </w:pPr>
            <w:r>
              <w:rPr>
                <w:rFonts w:cs="Times New Roman"/>
                <w:b/>
                <w:bCs/>
                <w:color w:val="000000"/>
                <w:sz w:val="21"/>
                <w:szCs w:val="21"/>
              </w:rPr>
              <w:t>第一章</w:t>
            </w:r>
            <w:r>
              <w:rPr>
                <w:rFonts w:cs="Times New Roman"/>
                <w:b/>
                <w:bCs/>
                <w:color w:val="000000"/>
                <w:sz w:val="21"/>
                <w:szCs w:val="21"/>
              </w:rPr>
              <w:t xml:space="preserve"> </w:t>
            </w:r>
            <w:r>
              <w:rPr>
                <w:rFonts w:cs="Times New Roman"/>
                <w:b/>
                <w:bCs/>
                <w:color w:val="000000"/>
                <w:sz w:val="21"/>
                <w:szCs w:val="21"/>
              </w:rPr>
              <w:t>本次交易概况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第一章</w:t>
            </w:r>
            <w:r>
              <w:rPr>
                <w:rFonts w:cs="Times New Roman"/>
                <w:b/>
                <w:bCs/>
                <w:color w:val="000000"/>
                <w:sz w:val="21"/>
                <w:szCs w:val="21"/>
              </w:rPr>
              <w:t xml:space="preserve"> </w:t>
            </w:r>
            <w:r>
              <w:rPr>
                <w:rFonts w:cs="Times New Roman"/>
                <w:b/>
                <w:bCs/>
                <w:color w:val="000000"/>
                <w:sz w:val="21"/>
                <w:szCs w:val="21"/>
              </w:rPr>
              <w:t>本次交易概况</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hint="eastAsia"/>
                <w:sz w:val="21"/>
                <w:szCs w:val="21"/>
              </w:rPr>
              <w:t>补充</w:t>
            </w:r>
            <w:r>
              <w:rPr>
                <w:rFonts w:ascii="Times New Roman" w:hAnsi="Times New Roman" w:cs="Times New Roman"/>
                <w:sz w:val="21"/>
                <w:szCs w:val="21"/>
              </w:rPr>
              <w:t>更新本次交易</w:t>
            </w:r>
            <w:r>
              <w:rPr>
                <w:rFonts w:ascii="Times New Roman" w:hAnsi="Times New Roman" w:cs="Times New Roman" w:hint="eastAsia"/>
                <w:sz w:val="21"/>
                <w:szCs w:val="21"/>
              </w:rPr>
              <w:t>具体</w:t>
            </w:r>
            <w:r>
              <w:rPr>
                <w:rFonts w:ascii="Times New Roman" w:hAnsi="Times New Roman" w:cs="Times New Roman"/>
                <w:sz w:val="21"/>
                <w:szCs w:val="21"/>
              </w:rPr>
              <w:t>方案；</w:t>
            </w:r>
          </w:p>
          <w:p w:rsidR="004C3E50" w:rsidRDefault="00D30549">
            <w:pPr>
              <w:rPr>
                <w:rFonts w:cs="Times New Roman"/>
                <w:color w:val="000000"/>
                <w:sz w:val="21"/>
                <w:szCs w:val="21"/>
              </w:rPr>
            </w:pPr>
            <w:r>
              <w:rPr>
                <w:rFonts w:cs="Times New Roman" w:hint="eastAsia"/>
                <w:color w:val="000000"/>
                <w:sz w:val="21"/>
                <w:szCs w:val="21"/>
              </w:rPr>
              <w:t>2</w:t>
            </w:r>
            <w:r>
              <w:rPr>
                <w:rFonts w:cs="Times New Roman" w:hint="eastAsia"/>
                <w:color w:val="000000"/>
                <w:sz w:val="21"/>
                <w:szCs w:val="21"/>
              </w:rPr>
              <w:t>、补充更新本次交易标的资产评估作价情况；</w:t>
            </w:r>
          </w:p>
          <w:p w:rsidR="004C3E50" w:rsidRDefault="00D30549">
            <w:pPr>
              <w:rPr>
                <w:rFonts w:cs="Times New Roman"/>
                <w:color w:val="000000"/>
                <w:sz w:val="21"/>
                <w:szCs w:val="21"/>
              </w:rPr>
            </w:pPr>
            <w:r>
              <w:rPr>
                <w:rFonts w:cs="Times New Roman" w:hint="eastAsia"/>
                <w:color w:val="000000"/>
                <w:sz w:val="21"/>
                <w:szCs w:val="21"/>
              </w:rPr>
              <w:t>3</w:t>
            </w:r>
            <w:r>
              <w:rPr>
                <w:rFonts w:cs="Times New Roman" w:hint="eastAsia"/>
                <w:color w:val="000000"/>
                <w:sz w:val="21"/>
                <w:szCs w:val="21"/>
              </w:rPr>
              <w:t>、补充更新本次交易业绩补偿的具体安排；</w:t>
            </w:r>
          </w:p>
          <w:p w:rsidR="004C3E50" w:rsidRDefault="00D30549">
            <w:pPr>
              <w:rPr>
                <w:rFonts w:cs="Times New Roman"/>
                <w:color w:val="000000"/>
                <w:sz w:val="21"/>
                <w:szCs w:val="21"/>
              </w:rPr>
            </w:pPr>
            <w:r>
              <w:rPr>
                <w:rFonts w:cs="Times New Roman" w:hint="eastAsia"/>
                <w:color w:val="000000"/>
                <w:sz w:val="21"/>
                <w:szCs w:val="21"/>
              </w:rPr>
              <w:t>4</w:t>
            </w:r>
            <w:r>
              <w:rPr>
                <w:rFonts w:cs="Times New Roman" w:hint="eastAsia"/>
                <w:color w:val="000000"/>
                <w:sz w:val="21"/>
                <w:szCs w:val="21"/>
              </w:rPr>
              <w:t>、补充</w:t>
            </w:r>
            <w:r>
              <w:rPr>
                <w:rFonts w:cs="Times New Roman" w:hint="eastAsia"/>
                <w:sz w:val="21"/>
                <w:szCs w:val="21"/>
              </w:rPr>
              <w:t>更新本次交易的性质；</w:t>
            </w:r>
          </w:p>
          <w:p w:rsidR="004C3E50" w:rsidRDefault="00D30549">
            <w:pPr>
              <w:rPr>
                <w:rFonts w:cs="Times New Roman"/>
                <w:color w:val="000000"/>
                <w:sz w:val="21"/>
                <w:szCs w:val="21"/>
              </w:rPr>
            </w:pPr>
            <w:r>
              <w:rPr>
                <w:rFonts w:cs="Times New Roman"/>
                <w:color w:val="000000"/>
                <w:sz w:val="21"/>
                <w:szCs w:val="21"/>
              </w:rPr>
              <w:t>5</w:t>
            </w:r>
            <w:r>
              <w:rPr>
                <w:rFonts w:cs="Times New Roman"/>
                <w:color w:val="000000"/>
                <w:sz w:val="21"/>
                <w:szCs w:val="21"/>
              </w:rPr>
              <w:t>、补充本次交易对上市公司</w:t>
            </w:r>
            <w:r>
              <w:rPr>
                <w:rFonts w:cs="Times New Roman" w:hint="eastAsia"/>
                <w:color w:val="000000"/>
                <w:sz w:val="21"/>
                <w:szCs w:val="21"/>
              </w:rPr>
              <w:t>主要</w:t>
            </w:r>
            <w:r>
              <w:rPr>
                <w:rFonts w:cs="Times New Roman"/>
                <w:color w:val="000000"/>
                <w:sz w:val="21"/>
                <w:szCs w:val="21"/>
              </w:rPr>
              <w:t>财务指标</w:t>
            </w:r>
            <w:r>
              <w:rPr>
                <w:rFonts w:cs="Times New Roman" w:hint="eastAsia"/>
                <w:color w:val="000000"/>
                <w:sz w:val="21"/>
                <w:szCs w:val="21"/>
              </w:rPr>
              <w:t>的</w:t>
            </w:r>
            <w:r>
              <w:rPr>
                <w:rFonts w:cs="Times New Roman"/>
                <w:color w:val="000000"/>
                <w:sz w:val="21"/>
                <w:szCs w:val="21"/>
              </w:rPr>
              <w:t>影响分析；</w:t>
            </w:r>
          </w:p>
          <w:p w:rsidR="004C3E50" w:rsidRDefault="00D30549">
            <w:pPr>
              <w:rPr>
                <w:rFonts w:cs="Times New Roman"/>
                <w:color w:val="000000"/>
                <w:sz w:val="21"/>
                <w:szCs w:val="21"/>
              </w:rPr>
            </w:pPr>
            <w:r>
              <w:rPr>
                <w:rFonts w:cs="Times New Roman"/>
                <w:color w:val="000000"/>
                <w:sz w:val="21"/>
                <w:szCs w:val="21"/>
              </w:rPr>
              <w:t>6</w:t>
            </w:r>
            <w:r>
              <w:rPr>
                <w:rFonts w:cs="Times New Roman"/>
                <w:color w:val="000000"/>
                <w:sz w:val="21"/>
                <w:szCs w:val="21"/>
              </w:rPr>
              <w:t>、更新本次交易已经履行及尚需履行的审批程序和其他事宜</w:t>
            </w:r>
            <w:r>
              <w:rPr>
                <w:rFonts w:cs="Times New Roman" w:hint="eastAsia"/>
                <w:color w:val="000000"/>
                <w:sz w:val="21"/>
                <w:szCs w:val="21"/>
              </w:rPr>
              <w:t>；</w:t>
            </w:r>
          </w:p>
          <w:p w:rsidR="004C3E50" w:rsidRDefault="00D30549">
            <w:pPr>
              <w:rPr>
                <w:rFonts w:cs="Times New Roman"/>
                <w:color w:val="000000"/>
                <w:sz w:val="21"/>
                <w:szCs w:val="21"/>
              </w:rPr>
            </w:pPr>
            <w:r>
              <w:rPr>
                <w:rFonts w:cs="Times New Roman" w:hint="eastAsia"/>
                <w:color w:val="000000"/>
                <w:sz w:val="21"/>
                <w:szCs w:val="21"/>
              </w:rPr>
              <w:t>7</w:t>
            </w:r>
            <w:r>
              <w:rPr>
                <w:rFonts w:cs="Times New Roman" w:hint="eastAsia"/>
                <w:color w:val="000000"/>
                <w:sz w:val="21"/>
                <w:szCs w:val="21"/>
              </w:rPr>
              <w:t>、补充更新本次重组相关方作出的重要承诺。</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color w:val="000000"/>
                <w:sz w:val="21"/>
                <w:szCs w:val="21"/>
              </w:rPr>
            </w:pPr>
            <w:r>
              <w:rPr>
                <w:rFonts w:cs="Times New Roman"/>
                <w:b/>
                <w:bCs/>
                <w:color w:val="000000"/>
                <w:sz w:val="21"/>
                <w:szCs w:val="21"/>
              </w:rPr>
              <w:t>第二章</w:t>
            </w:r>
            <w:r>
              <w:rPr>
                <w:rFonts w:cs="Times New Roman"/>
                <w:b/>
                <w:bCs/>
                <w:color w:val="000000"/>
                <w:sz w:val="21"/>
                <w:szCs w:val="21"/>
              </w:rPr>
              <w:t xml:space="preserve"> </w:t>
            </w:r>
            <w:r>
              <w:rPr>
                <w:rFonts w:cs="Times New Roman"/>
                <w:b/>
                <w:bCs/>
                <w:color w:val="000000"/>
                <w:sz w:val="21"/>
                <w:szCs w:val="21"/>
              </w:rPr>
              <w:t>上市公司基本情况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第二章</w:t>
            </w:r>
            <w:r>
              <w:rPr>
                <w:rFonts w:cs="Times New Roman"/>
                <w:b/>
                <w:bCs/>
                <w:color w:val="000000"/>
                <w:sz w:val="21"/>
                <w:szCs w:val="21"/>
              </w:rPr>
              <w:t xml:space="preserve"> </w:t>
            </w:r>
            <w:r>
              <w:rPr>
                <w:rFonts w:cs="Times New Roman"/>
                <w:b/>
                <w:bCs/>
                <w:color w:val="000000"/>
                <w:sz w:val="21"/>
                <w:szCs w:val="21"/>
              </w:rPr>
              <w:t>上市公司基本情况</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、更新上市公司的基本情况、股本结构、上市公司控股股东及实际控制人情况；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lastRenderedPageBreak/>
              <w:t>2</w:t>
            </w:r>
            <w:r>
              <w:rPr>
                <w:rFonts w:ascii="Times New Roman" w:hAnsi="Times New Roman" w:cs="Times New Roman" w:hint="eastAsia"/>
                <w:sz w:val="21"/>
                <w:szCs w:val="21"/>
              </w:rPr>
              <w:t>、更新上市公司主营业务发展情况、主要财务数据及财务指标。</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lastRenderedPageBreak/>
              <w:t>第三章</w:t>
            </w:r>
            <w:r>
              <w:rPr>
                <w:rFonts w:cs="Times New Roman"/>
                <w:b/>
                <w:bCs/>
                <w:color w:val="000000"/>
                <w:sz w:val="21"/>
                <w:szCs w:val="21"/>
              </w:rPr>
              <w:t xml:space="preserve"> </w:t>
            </w:r>
            <w:r>
              <w:rPr>
                <w:rFonts w:cs="Times New Roman"/>
                <w:b/>
                <w:bCs/>
                <w:color w:val="000000"/>
                <w:sz w:val="21"/>
                <w:szCs w:val="21"/>
              </w:rPr>
              <w:t>交易对方基本情况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第三章</w:t>
            </w:r>
            <w:r>
              <w:rPr>
                <w:rFonts w:cs="Times New Roman"/>
                <w:b/>
                <w:bCs/>
                <w:color w:val="000000"/>
                <w:sz w:val="21"/>
                <w:szCs w:val="21"/>
              </w:rPr>
              <w:t xml:space="preserve"> </w:t>
            </w:r>
            <w:r>
              <w:rPr>
                <w:rFonts w:cs="Times New Roman"/>
                <w:b/>
                <w:bCs/>
                <w:color w:val="000000"/>
                <w:sz w:val="21"/>
                <w:szCs w:val="21"/>
              </w:rPr>
              <w:t>交易对方基本情况</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补充关于交易对方的历史沿革、产权控制关系、下属企业情况、主营业务发展情况、主要财务指标和财务数据、交易对方之间的关联关系、交易对方与上市公司的关联关系、向上市公司推荐董事或高管人员说明、交易对方及主要管理人员最近五年受到行政和刑事处罚、涉及诉讼或者仲裁情况与诚信情况说明。</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w:t>
            </w:r>
            <w:r>
              <w:rPr>
                <w:rFonts w:cs="Times New Roman" w:hint="eastAsia"/>
                <w:b/>
                <w:bCs/>
                <w:color w:val="000000"/>
                <w:sz w:val="21"/>
                <w:szCs w:val="21"/>
              </w:rPr>
              <w:t>四</w:t>
            </w:r>
            <w:r>
              <w:rPr>
                <w:rFonts w:cs="Times New Roman"/>
                <w:b/>
                <w:bCs/>
                <w:color w:val="000000"/>
                <w:sz w:val="21"/>
                <w:szCs w:val="21"/>
              </w:rPr>
              <w:t>章</w:t>
            </w:r>
            <w:r>
              <w:rPr>
                <w:rFonts w:cs="Times New Roman"/>
                <w:b/>
                <w:bCs/>
                <w:color w:val="000000"/>
                <w:sz w:val="21"/>
                <w:szCs w:val="21"/>
              </w:rPr>
              <w:t xml:space="preserve"> </w:t>
            </w:r>
            <w:r>
              <w:rPr>
                <w:rFonts w:cs="Times New Roman" w:hint="eastAsia"/>
                <w:b/>
                <w:bCs/>
                <w:color w:val="000000"/>
                <w:sz w:val="21"/>
                <w:szCs w:val="21"/>
              </w:rPr>
              <w:t>标的基本资产</w:t>
            </w:r>
            <w:r>
              <w:rPr>
                <w:rFonts w:cs="Times New Roman"/>
                <w:b/>
                <w:bCs/>
                <w:color w:val="000000"/>
                <w:sz w:val="21"/>
                <w:szCs w:val="21"/>
              </w:rPr>
              <w:t>情况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w:t>
            </w:r>
            <w:r>
              <w:rPr>
                <w:rFonts w:cs="Times New Roman" w:hint="eastAsia"/>
                <w:b/>
                <w:bCs/>
                <w:color w:val="000000"/>
                <w:sz w:val="21"/>
                <w:szCs w:val="21"/>
              </w:rPr>
              <w:t>五</w:t>
            </w:r>
            <w:r>
              <w:rPr>
                <w:rFonts w:cs="Times New Roman"/>
                <w:b/>
                <w:bCs/>
                <w:color w:val="000000"/>
                <w:sz w:val="21"/>
                <w:szCs w:val="21"/>
              </w:rPr>
              <w:t>章</w:t>
            </w:r>
            <w:r>
              <w:rPr>
                <w:rFonts w:cs="Times New Roman" w:hint="eastAsia"/>
                <w:b/>
                <w:bCs/>
                <w:color w:val="000000"/>
                <w:sz w:val="21"/>
                <w:szCs w:val="21"/>
              </w:rPr>
              <w:t>标的资产基本</w:t>
            </w:r>
            <w:r>
              <w:rPr>
                <w:rFonts w:cs="Times New Roman"/>
                <w:b/>
                <w:bCs/>
                <w:color w:val="000000"/>
                <w:sz w:val="21"/>
                <w:szCs w:val="21"/>
              </w:rPr>
              <w:t>情况</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、补充标的资产历史沿革、下属公司基本情况，进一步补充股权结构及产权控制关系的部分内容；</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、更新、补充拟购买资产主营业务发展情况；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、补充标的资产主要资产权属、主要负债及对外担保情况、非经营性资金占用情况的说明；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w:t>
            </w:r>
            <w:r>
              <w:rPr>
                <w:rFonts w:ascii="Times New Roman" w:hAnsi="Times New Roman" w:cs="Times New Roman" w:hint="eastAsia"/>
                <w:sz w:val="21"/>
                <w:szCs w:val="21"/>
              </w:rPr>
              <w:t>更新标的资产主要财务数据；</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hint="eastAsia"/>
                <w:sz w:val="21"/>
                <w:szCs w:val="21"/>
              </w:rPr>
              <w:t>、补充标的资产最近三年进行的与交易、增资或改制相关的评估情况；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hint="eastAsia"/>
                <w:sz w:val="21"/>
                <w:szCs w:val="21"/>
              </w:rPr>
              <w:t>、补充标的资产报告期内会计政策及相关会计处理；</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hint="eastAsia"/>
                <w:sz w:val="21"/>
                <w:szCs w:val="21"/>
              </w:rPr>
              <w:t>、补充标的资产诉讼、仲裁和合法合规情况；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8</w:t>
            </w:r>
            <w:r>
              <w:rPr>
                <w:rFonts w:ascii="Times New Roman" w:hAnsi="Times New Roman" w:cs="Times New Roman" w:hint="eastAsia"/>
                <w:sz w:val="21"/>
                <w:szCs w:val="21"/>
              </w:rPr>
              <w:t>、补充有关报批事项的情况。</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第五章</w:t>
            </w:r>
            <w:r>
              <w:rPr>
                <w:rFonts w:cs="Times New Roman" w:hint="eastAsia"/>
                <w:b/>
                <w:bCs/>
                <w:color w:val="000000"/>
                <w:sz w:val="21"/>
                <w:szCs w:val="21"/>
              </w:rPr>
              <w:t xml:space="preserve"> </w:t>
            </w:r>
            <w:r>
              <w:rPr>
                <w:rFonts w:cs="Times New Roman" w:hint="eastAsia"/>
                <w:b/>
                <w:bCs/>
                <w:color w:val="000000"/>
                <w:sz w:val="21"/>
                <w:szCs w:val="21"/>
              </w:rPr>
              <w:t>发行股份情况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第六章</w:t>
            </w:r>
            <w:r>
              <w:rPr>
                <w:rFonts w:cs="Times New Roman" w:hint="eastAsia"/>
                <w:b/>
                <w:bCs/>
                <w:color w:val="000000"/>
                <w:sz w:val="21"/>
                <w:szCs w:val="21"/>
              </w:rPr>
              <w:t xml:space="preserve"> </w:t>
            </w:r>
            <w:r>
              <w:rPr>
                <w:rFonts w:cs="Times New Roman" w:hint="eastAsia"/>
                <w:b/>
                <w:bCs/>
                <w:color w:val="000000"/>
                <w:sz w:val="21"/>
                <w:szCs w:val="21"/>
              </w:rPr>
              <w:t>发行股份的情况</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hint="eastAsia"/>
                <w:sz w:val="21"/>
                <w:szCs w:val="21"/>
              </w:rPr>
              <w:t>补充本次发行股份的具体方案</w:t>
            </w:r>
            <w:r>
              <w:rPr>
                <w:rFonts w:ascii="Times New Roman" w:hAnsi="Times New Roman" w:cs="Times New Roman"/>
                <w:sz w:val="21"/>
                <w:szCs w:val="21"/>
              </w:rPr>
              <w:t>；</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、补充募集配套资金的具体方案。</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第六章</w:t>
            </w:r>
            <w:r>
              <w:rPr>
                <w:rFonts w:cs="Times New Roman" w:hint="eastAsia"/>
                <w:b/>
                <w:bCs/>
                <w:color w:val="000000"/>
                <w:sz w:val="21"/>
                <w:szCs w:val="21"/>
              </w:rPr>
              <w:t xml:space="preserve"> </w:t>
            </w:r>
            <w:r>
              <w:rPr>
                <w:rFonts w:cs="Times New Roman" w:hint="eastAsia"/>
                <w:b/>
                <w:bCs/>
                <w:color w:val="000000"/>
                <w:sz w:val="21"/>
                <w:szCs w:val="21"/>
              </w:rPr>
              <w:t>标的资产评估情况</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第五章</w:t>
            </w:r>
            <w:r>
              <w:rPr>
                <w:rFonts w:cs="Times New Roman" w:hint="eastAsia"/>
                <w:b/>
                <w:bCs/>
                <w:color w:val="000000"/>
                <w:sz w:val="21"/>
                <w:szCs w:val="21"/>
              </w:rPr>
              <w:t xml:space="preserve"> </w:t>
            </w:r>
            <w:r>
              <w:rPr>
                <w:rFonts w:cs="Times New Roman" w:hint="eastAsia"/>
                <w:b/>
                <w:bCs/>
                <w:color w:val="000000"/>
                <w:sz w:val="21"/>
                <w:szCs w:val="21"/>
              </w:rPr>
              <w:t>标的资产预估作价及定价公允性</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w:t>
            </w:r>
            <w:r>
              <w:rPr>
                <w:rFonts w:ascii="Times New Roman" w:hAnsi="Times New Roman" w:cs="Times New Roman" w:hint="eastAsia"/>
                <w:sz w:val="21"/>
                <w:szCs w:val="21"/>
              </w:rPr>
              <w:t>标的资产</w:t>
            </w:r>
            <w:r>
              <w:rPr>
                <w:rFonts w:ascii="Times New Roman" w:hAnsi="Times New Roman" w:cs="Times New Roman"/>
                <w:sz w:val="21"/>
                <w:szCs w:val="21"/>
              </w:rPr>
              <w:t>的</w:t>
            </w:r>
            <w:r>
              <w:rPr>
                <w:rFonts w:ascii="Times New Roman" w:hAnsi="Times New Roman" w:cs="Times New Roman" w:hint="eastAsia"/>
                <w:sz w:val="21"/>
                <w:szCs w:val="21"/>
              </w:rPr>
              <w:t>评估情况及相关假设、方法、特别事项说明</w:t>
            </w:r>
            <w:r>
              <w:rPr>
                <w:rFonts w:ascii="Times New Roman" w:hAnsi="Times New Roman" w:cs="Times New Roman"/>
                <w:sz w:val="21"/>
                <w:szCs w:val="21"/>
              </w:rPr>
              <w:t>；</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、补充</w:t>
            </w:r>
            <w:r>
              <w:rPr>
                <w:rFonts w:ascii="Times New Roman" w:hAnsi="Times New Roman" w:cs="Times New Roman" w:hint="eastAsia"/>
                <w:sz w:val="21"/>
                <w:szCs w:val="21"/>
              </w:rPr>
              <w:t>上市公司董事会</w:t>
            </w:r>
            <w:r>
              <w:rPr>
                <w:rFonts w:ascii="Times New Roman" w:hAnsi="Times New Roman" w:cs="Times New Roman"/>
                <w:sz w:val="21"/>
                <w:szCs w:val="21"/>
              </w:rPr>
              <w:t>对</w:t>
            </w:r>
            <w:r>
              <w:rPr>
                <w:rFonts w:ascii="Times New Roman" w:hAnsi="Times New Roman" w:cs="Times New Roman" w:hint="eastAsia"/>
                <w:sz w:val="21"/>
                <w:szCs w:val="21"/>
              </w:rPr>
              <w:t>标的资产评估合理性及定价公允性</w:t>
            </w:r>
            <w:r>
              <w:rPr>
                <w:rFonts w:ascii="Times New Roman" w:hAnsi="Times New Roman" w:cs="Times New Roman"/>
                <w:sz w:val="21"/>
                <w:szCs w:val="21"/>
              </w:rPr>
              <w:t>的</w:t>
            </w:r>
            <w:r>
              <w:rPr>
                <w:rFonts w:ascii="Times New Roman" w:hAnsi="Times New Roman" w:cs="Times New Roman" w:hint="eastAsia"/>
                <w:sz w:val="21"/>
                <w:szCs w:val="21"/>
              </w:rPr>
              <w:t>分析；</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、补充独立董事对评估机构的独立性、评估假设前提的合理性及交易定价的公允性的意见</w:t>
            </w:r>
            <w:r>
              <w:rPr>
                <w:rFonts w:ascii="Times New Roman" w:hAnsi="Times New Roman" w:cs="Times New Roman"/>
                <w:sz w:val="21"/>
                <w:szCs w:val="21"/>
              </w:rPr>
              <w:t>。</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第七章</w:t>
            </w:r>
            <w:r>
              <w:rPr>
                <w:rFonts w:cs="Times New Roman" w:hint="eastAsia"/>
                <w:b/>
                <w:bCs/>
                <w:color w:val="000000"/>
                <w:sz w:val="21"/>
                <w:szCs w:val="21"/>
              </w:rPr>
              <w:t xml:space="preserve"> </w:t>
            </w:r>
            <w:r>
              <w:rPr>
                <w:rFonts w:cs="Times New Roman" w:hint="eastAsia"/>
                <w:b/>
                <w:bCs/>
                <w:color w:val="000000"/>
                <w:sz w:val="21"/>
                <w:szCs w:val="21"/>
              </w:rPr>
              <w:t>本次交易合同的主要内容</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、补充上市公司与交易对方签署的《发行股份购买资产之补充协议》的</w:t>
            </w:r>
            <w:r>
              <w:rPr>
                <w:rFonts w:ascii="Times New Roman" w:hAnsi="Times New Roman" w:cs="Times New Roman" w:hint="eastAsia"/>
                <w:sz w:val="21"/>
                <w:szCs w:val="21"/>
              </w:rPr>
              <w:t>主要内容；</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、补充上市公司与部分交易对方签署的《盈利预测补偿协议》的主要内容。</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第八章</w:t>
            </w:r>
            <w:r>
              <w:rPr>
                <w:rFonts w:cs="Times New Roman" w:hint="eastAsia"/>
                <w:b/>
                <w:bCs/>
                <w:color w:val="000000"/>
                <w:sz w:val="21"/>
                <w:szCs w:val="21"/>
              </w:rPr>
              <w:t xml:space="preserve"> </w:t>
            </w:r>
            <w:r>
              <w:rPr>
                <w:rFonts w:cs="Times New Roman" w:hint="eastAsia"/>
                <w:b/>
                <w:bCs/>
                <w:color w:val="000000"/>
                <w:sz w:val="21"/>
                <w:szCs w:val="21"/>
              </w:rPr>
              <w:t>本次交易的合规性分析</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、补充</w:t>
            </w:r>
            <w:r>
              <w:rPr>
                <w:rFonts w:ascii="Times New Roman" w:hAnsi="Times New Roman" w:cs="Times New Roman" w:hint="eastAsia"/>
                <w:sz w:val="21"/>
                <w:szCs w:val="21"/>
              </w:rPr>
              <w:t>本次交易符合《上市公司重大资产重组管理办法》、《监管规则适用指引——上市类第</w:t>
            </w:r>
            <w:r>
              <w:rPr>
                <w:rFonts w:ascii="Times New Roman" w:hAnsi="Times New Roman" w:cs="Times New Roman" w:hint="eastAsia"/>
                <w:sz w:val="21"/>
                <w:szCs w:val="21"/>
              </w:rPr>
              <w:t>1</w:t>
            </w:r>
            <w:r>
              <w:rPr>
                <w:rFonts w:ascii="Times New Roman" w:hAnsi="Times New Roman" w:cs="Times New Roman" w:hint="eastAsia"/>
                <w:sz w:val="21"/>
                <w:szCs w:val="21"/>
              </w:rPr>
              <w:t>号》相关规定的说明；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、补充本次交易符合《上市公司监管指引第</w:t>
            </w:r>
            <w:r>
              <w:rPr>
                <w:rFonts w:ascii="Times New Roman" w:hAnsi="Times New Roman" w:cs="Times New Roman" w:hint="eastAsia"/>
                <w:sz w:val="21"/>
                <w:szCs w:val="21"/>
              </w:rPr>
              <w:t>9</w:t>
            </w:r>
            <w:r>
              <w:rPr>
                <w:rFonts w:ascii="Times New Roman" w:hAnsi="Times New Roman" w:cs="Times New Roman" w:hint="eastAsia"/>
                <w:sz w:val="21"/>
                <w:szCs w:val="21"/>
              </w:rPr>
              <w:t>号》相关规定的说明；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、补充本次交易符合《证券发行注册管理办法》的说明；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、补充独立财务顾问与法律顾问对本次交易合规性的意见。</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第九章</w:t>
            </w:r>
            <w:r>
              <w:rPr>
                <w:rFonts w:cs="Times New Roman" w:hint="eastAsia"/>
                <w:b/>
                <w:bCs/>
                <w:color w:val="000000"/>
                <w:sz w:val="21"/>
                <w:szCs w:val="21"/>
              </w:rPr>
              <w:t xml:space="preserve"> </w:t>
            </w:r>
            <w:r>
              <w:rPr>
                <w:rFonts w:cs="Times New Roman" w:hint="eastAsia"/>
                <w:b/>
                <w:bCs/>
                <w:color w:val="000000"/>
                <w:sz w:val="21"/>
                <w:szCs w:val="21"/>
              </w:rPr>
              <w:t>管理层讨论与分析</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、补充本次交易前上市公司财务状况和经营成果的讨论与分析、本次交易标的行业特点和经营情况的讨论与分析、标的资产的财务状况、盈利能力</w:t>
            </w:r>
            <w:r>
              <w:rPr>
                <w:rFonts w:ascii="Times New Roman" w:hAnsi="Times New Roman" w:cs="Times New Roman" w:hint="eastAsia"/>
                <w:sz w:val="21"/>
                <w:szCs w:val="21"/>
              </w:rPr>
              <w:t>分析</w:t>
            </w:r>
            <w:r>
              <w:rPr>
                <w:rFonts w:ascii="Times New Roman" w:hAnsi="Times New Roman" w:cs="Times New Roman"/>
                <w:sz w:val="21"/>
                <w:szCs w:val="21"/>
              </w:rPr>
              <w:t>；</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、补充本次交易对上市公司的持续经营能力、上市公司未来发展前景以及上市公司财务指标和非财务指标影响</w:t>
            </w:r>
            <w:r>
              <w:rPr>
                <w:rFonts w:ascii="Times New Roman" w:hAnsi="Times New Roman" w:cs="Times New Roman"/>
                <w:sz w:val="21"/>
                <w:szCs w:val="21"/>
              </w:rPr>
              <w:lastRenderedPageBreak/>
              <w:t>的分析</w:t>
            </w:r>
            <w:r>
              <w:rPr>
                <w:rFonts w:ascii="Times New Roman" w:hAnsi="Times New Roman" w:cs="Times New Roman" w:hint="eastAsia"/>
                <w:sz w:val="21"/>
                <w:szCs w:val="21"/>
              </w:rPr>
              <w:t>。</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lastRenderedPageBreak/>
              <w:t>第</w:t>
            </w:r>
            <w:r>
              <w:rPr>
                <w:rFonts w:cs="Times New Roman" w:hint="eastAsia"/>
                <w:b/>
                <w:bCs/>
                <w:color w:val="000000"/>
                <w:sz w:val="21"/>
                <w:szCs w:val="21"/>
              </w:rPr>
              <w:t>十</w:t>
            </w:r>
            <w:r>
              <w:rPr>
                <w:rFonts w:cs="Times New Roman"/>
                <w:b/>
                <w:bCs/>
                <w:color w:val="000000"/>
                <w:sz w:val="21"/>
                <w:szCs w:val="21"/>
              </w:rPr>
              <w:t>章</w:t>
            </w:r>
            <w:r>
              <w:rPr>
                <w:rFonts w:cs="Times New Roman"/>
                <w:b/>
                <w:bCs/>
                <w:color w:val="000000"/>
                <w:sz w:val="21"/>
                <w:szCs w:val="21"/>
              </w:rPr>
              <w:t xml:space="preserve"> </w:t>
            </w:r>
            <w:r>
              <w:rPr>
                <w:rFonts w:cs="Times New Roman"/>
                <w:b/>
                <w:bCs/>
                <w:color w:val="000000"/>
                <w:sz w:val="21"/>
                <w:szCs w:val="21"/>
              </w:rPr>
              <w:t>财务会计信息</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、补充标的</w:t>
            </w:r>
            <w:r>
              <w:rPr>
                <w:rFonts w:ascii="Times New Roman" w:hAnsi="Times New Roman" w:cs="Times New Roman" w:hint="eastAsia"/>
                <w:sz w:val="21"/>
                <w:szCs w:val="21"/>
              </w:rPr>
              <w:t>资产</w:t>
            </w:r>
            <w:r>
              <w:rPr>
                <w:rFonts w:ascii="Times New Roman" w:hAnsi="Times New Roman" w:cs="Times New Roman"/>
                <w:sz w:val="21"/>
                <w:szCs w:val="21"/>
              </w:rPr>
              <w:t>最近两年</w:t>
            </w:r>
            <w:r>
              <w:rPr>
                <w:rFonts w:ascii="Times New Roman" w:hAnsi="Times New Roman" w:cs="Times New Roman" w:hint="eastAsia"/>
                <w:sz w:val="21"/>
                <w:szCs w:val="21"/>
              </w:rPr>
              <w:t>一期</w:t>
            </w:r>
            <w:r>
              <w:rPr>
                <w:rFonts w:ascii="Times New Roman" w:hAnsi="Times New Roman" w:cs="Times New Roman"/>
                <w:sz w:val="21"/>
                <w:szCs w:val="21"/>
              </w:rPr>
              <w:t>的财务报表；</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、补充上市公司最近一年</w:t>
            </w:r>
            <w:r>
              <w:rPr>
                <w:rFonts w:ascii="Times New Roman" w:hAnsi="Times New Roman" w:cs="Times New Roman" w:hint="eastAsia"/>
                <w:sz w:val="21"/>
                <w:szCs w:val="21"/>
              </w:rPr>
              <w:t>一期</w:t>
            </w:r>
            <w:r>
              <w:rPr>
                <w:rFonts w:ascii="Times New Roman" w:hAnsi="Times New Roman" w:cs="Times New Roman"/>
                <w:sz w:val="21"/>
                <w:szCs w:val="21"/>
              </w:rPr>
              <w:t>的备考财务报表。</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第十</w:t>
            </w:r>
            <w:r>
              <w:rPr>
                <w:rFonts w:cs="Times New Roman" w:hint="eastAsia"/>
                <w:b/>
                <w:bCs/>
                <w:color w:val="000000"/>
                <w:sz w:val="21"/>
                <w:szCs w:val="21"/>
              </w:rPr>
              <w:t>一</w:t>
            </w:r>
            <w:r>
              <w:rPr>
                <w:rFonts w:cs="Times New Roman"/>
                <w:b/>
                <w:bCs/>
                <w:color w:val="000000"/>
                <w:sz w:val="21"/>
                <w:szCs w:val="21"/>
              </w:rPr>
              <w:t>章</w:t>
            </w:r>
            <w:r>
              <w:rPr>
                <w:rFonts w:cs="Times New Roman"/>
                <w:b/>
                <w:bCs/>
                <w:color w:val="000000"/>
                <w:sz w:val="21"/>
                <w:szCs w:val="21"/>
              </w:rPr>
              <w:t xml:space="preserve"> </w:t>
            </w:r>
            <w:r>
              <w:rPr>
                <w:rFonts w:cs="Times New Roman"/>
                <w:b/>
                <w:bCs/>
                <w:color w:val="000000"/>
                <w:sz w:val="21"/>
                <w:szCs w:val="21"/>
              </w:rPr>
              <w:t>同业竞争和关联交易</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w:t>
            </w:r>
            <w:r>
              <w:rPr>
                <w:rFonts w:ascii="Times New Roman" w:hAnsi="Times New Roman" w:cs="Times New Roman" w:hint="eastAsia"/>
                <w:sz w:val="21"/>
                <w:szCs w:val="21"/>
              </w:rPr>
              <w:t>本次交易完成前后同业竞争情况</w:t>
            </w:r>
            <w:r>
              <w:rPr>
                <w:rFonts w:ascii="Times New Roman" w:hAnsi="Times New Roman" w:cs="Times New Roman"/>
                <w:sz w:val="21"/>
                <w:szCs w:val="21"/>
              </w:rPr>
              <w:t>；</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、补充关联交易情况。</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第十二章</w:t>
            </w:r>
            <w:r>
              <w:rPr>
                <w:rFonts w:cs="Times New Roman" w:hint="eastAsia"/>
                <w:b/>
                <w:bCs/>
                <w:color w:val="000000"/>
                <w:sz w:val="21"/>
                <w:szCs w:val="21"/>
              </w:rPr>
              <w:t xml:space="preserve"> </w:t>
            </w:r>
            <w:r>
              <w:rPr>
                <w:rFonts w:cs="Times New Roman" w:hint="eastAsia"/>
                <w:b/>
                <w:bCs/>
                <w:color w:val="000000"/>
                <w:sz w:val="21"/>
                <w:szCs w:val="21"/>
              </w:rPr>
              <w:t>风险因素</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第八章</w:t>
            </w:r>
            <w:r>
              <w:rPr>
                <w:rFonts w:cs="Times New Roman" w:hint="eastAsia"/>
                <w:b/>
                <w:bCs/>
                <w:color w:val="000000"/>
                <w:sz w:val="21"/>
                <w:szCs w:val="21"/>
              </w:rPr>
              <w:t xml:space="preserve"> </w:t>
            </w:r>
            <w:r>
              <w:rPr>
                <w:rFonts w:cs="Times New Roman" w:hint="eastAsia"/>
                <w:b/>
                <w:bCs/>
                <w:color w:val="000000"/>
                <w:sz w:val="21"/>
                <w:szCs w:val="21"/>
              </w:rPr>
              <w:t>风险因素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、更新</w:t>
            </w:r>
            <w:r>
              <w:rPr>
                <w:rFonts w:ascii="Times New Roman" w:hAnsi="Times New Roman" w:cs="Times New Roman" w:hint="eastAsia"/>
                <w:sz w:val="21"/>
                <w:szCs w:val="21"/>
              </w:rPr>
              <w:t>与本次交易相关的风险；</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、更新与标的资产相关的风险</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、补充财务风险；</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、补充其他风险。</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第十</w:t>
            </w:r>
            <w:r>
              <w:rPr>
                <w:rFonts w:cs="Times New Roman" w:hint="eastAsia"/>
                <w:b/>
                <w:bCs/>
                <w:color w:val="000000"/>
                <w:sz w:val="21"/>
                <w:szCs w:val="21"/>
              </w:rPr>
              <w:t>三章</w:t>
            </w:r>
            <w:r>
              <w:rPr>
                <w:rFonts w:cs="Times New Roman"/>
                <w:b/>
                <w:bCs/>
                <w:color w:val="000000"/>
                <w:sz w:val="21"/>
                <w:szCs w:val="21"/>
              </w:rPr>
              <w:t xml:space="preserve"> </w:t>
            </w:r>
            <w:r>
              <w:rPr>
                <w:rFonts w:cs="Times New Roman"/>
                <w:b/>
                <w:bCs/>
                <w:color w:val="000000"/>
                <w:sz w:val="21"/>
                <w:szCs w:val="21"/>
              </w:rPr>
              <w:t>其他重要事项</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w:t>
            </w:r>
            <w:r>
              <w:rPr>
                <w:rFonts w:cs="Times New Roman" w:hint="eastAsia"/>
                <w:b/>
                <w:bCs/>
                <w:color w:val="000000"/>
                <w:sz w:val="21"/>
                <w:szCs w:val="21"/>
              </w:rPr>
              <w:t>十</w:t>
            </w:r>
            <w:r>
              <w:rPr>
                <w:rFonts w:cs="Times New Roman"/>
                <w:b/>
                <w:bCs/>
                <w:color w:val="000000"/>
                <w:sz w:val="21"/>
                <w:szCs w:val="21"/>
              </w:rPr>
              <w:t>章</w:t>
            </w:r>
            <w:r>
              <w:rPr>
                <w:rFonts w:cs="Times New Roman"/>
                <w:b/>
                <w:bCs/>
                <w:color w:val="000000"/>
                <w:sz w:val="21"/>
                <w:szCs w:val="21"/>
              </w:rPr>
              <w:t xml:space="preserve"> </w:t>
            </w:r>
            <w:r>
              <w:rPr>
                <w:rFonts w:cs="Times New Roman"/>
                <w:b/>
                <w:bCs/>
                <w:color w:val="000000"/>
                <w:sz w:val="21"/>
                <w:szCs w:val="21"/>
              </w:rPr>
              <w:t>其他重要事项</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hint="eastAsia"/>
                <w:sz w:val="21"/>
                <w:szCs w:val="21"/>
              </w:rPr>
              <w:t>补充本次交易完成后，上市公司是否存在资金、资产被实际控制人或其他关联人占用的情形；上市公司是否存在为实际控制人或其他关联人提供担保的情形；</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、补充披露上市公司负债结构是否合理，是否存在因本次交易大量增加负债（包括或有负债）的情况；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、更新</w:t>
            </w:r>
            <w:r>
              <w:rPr>
                <w:rFonts w:ascii="Times New Roman" w:hAnsi="Times New Roman" w:cs="Times New Roman"/>
                <w:sz w:val="21"/>
                <w:szCs w:val="21"/>
              </w:rPr>
              <w:t>本次交易对上市公司治理</w:t>
            </w:r>
            <w:r>
              <w:rPr>
                <w:rFonts w:ascii="Times New Roman" w:hAnsi="Times New Roman" w:cs="Times New Roman" w:hint="eastAsia"/>
                <w:sz w:val="21"/>
                <w:szCs w:val="21"/>
              </w:rPr>
              <w:t>机制的影响；</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、补充本次交易后上市公司现金分红政策及相应的安排、董事会对上述情况的说明；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、补充本次交易涉及的相关主体买卖上市公司股票的自查情况；</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、补充关于重大事项披露前股票价格波动情况的说明。</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第十</w:t>
            </w:r>
            <w:r>
              <w:rPr>
                <w:rFonts w:cs="Times New Roman" w:hint="eastAsia"/>
                <w:b/>
                <w:bCs/>
                <w:color w:val="000000"/>
                <w:sz w:val="21"/>
                <w:szCs w:val="21"/>
              </w:rPr>
              <w:t>四章</w:t>
            </w:r>
            <w:r>
              <w:rPr>
                <w:rFonts w:cs="Times New Roman" w:hint="eastAsia"/>
                <w:b/>
                <w:bCs/>
                <w:color w:val="000000"/>
                <w:sz w:val="21"/>
                <w:szCs w:val="21"/>
              </w:rPr>
              <w:t xml:space="preserve"> </w:t>
            </w:r>
            <w:r>
              <w:rPr>
                <w:rFonts w:cs="Times New Roman" w:hint="eastAsia"/>
                <w:b/>
                <w:bCs/>
                <w:color w:val="000000"/>
                <w:sz w:val="21"/>
                <w:szCs w:val="21"/>
              </w:rPr>
              <w:t>独立董事及中介机构关于本次交易的意见</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w:t>
            </w:r>
            <w:r>
              <w:rPr>
                <w:rFonts w:cs="Times New Roman" w:hint="eastAsia"/>
                <w:b/>
                <w:bCs/>
                <w:color w:val="000000"/>
                <w:sz w:val="21"/>
                <w:szCs w:val="21"/>
              </w:rPr>
              <w:t>九</w:t>
            </w:r>
            <w:r>
              <w:rPr>
                <w:rFonts w:cs="Times New Roman"/>
                <w:b/>
                <w:bCs/>
                <w:color w:val="000000"/>
                <w:sz w:val="21"/>
                <w:szCs w:val="21"/>
              </w:rPr>
              <w:t>章</w:t>
            </w:r>
            <w:r>
              <w:rPr>
                <w:rFonts w:cs="Times New Roman" w:hint="eastAsia"/>
                <w:b/>
                <w:bCs/>
                <w:color w:val="000000"/>
                <w:sz w:val="21"/>
                <w:szCs w:val="21"/>
              </w:rPr>
              <w:t xml:space="preserve"> </w:t>
            </w:r>
            <w:r>
              <w:rPr>
                <w:rFonts w:cs="Times New Roman" w:hint="eastAsia"/>
                <w:b/>
                <w:bCs/>
                <w:color w:val="000000"/>
                <w:sz w:val="21"/>
                <w:szCs w:val="21"/>
              </w:rPr>
              <w:t>独立董事及中介机构关于本次交易的意见</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、更新独立董事意见、独立财务顾问意见</w:t>
            </w:r>
            <w:r>
              <w:rPr>
                <w:rFonts w:ascii="Times New Roman" w:hAnsi="Times New Roman" w:cs="Times New Roman" w:hint="eastAsia"/>
                <w:sz w:val="21"/>
                <w:szCs w:val="21"/>
              </w:rPr>
              <w:t>、法律顾问意见。</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b/>
                <w:bCs/>
                <w:color w:val="000000"/>
                <w:sz w:val="21"/>
                <w:szCs w:val="21"/>
              </w:rPr>
              <w:t>第十</w:t>
            </w:r>
            <w:r>
              <w:rPr>
                <w:rFonts w:cs="Times New Roman" w:hint="eastAsia"/>
                <w:b/>
                <w:bCs/>
                <w:color w:val="000000"/>
                <w:sz w:val="21"/>
                <w:szCs w:val="21"/>
              </w:rPr>
              <w:t>五</w:t>
            </w:r>
            <w:r>
              <w:rPr>
                <w:rFonts w:cs="Times New Roman"/>
                <w:b/>
                <w:bCs/>
                <w:color w:val="000000"/>
                <w:sz w:val="21"/>
                <w:szCs w:val="21"/>
              </w:rPr>
              <w:t>章</w:t>
            </w:r>
            <w:r>
              <w:rPr>
                <w:rFonts w:cs="Times New Roman" w:hint="eastAsia"/>
                <w:b/>
                <w:bCs/>
                <w:color w:val="000000"/>
                <w:sz w:val="21"/>
                <w:szCs w:val="21"/>
              </w:rPr>
              <w:t xml:space="preserve"> </w:t>
            </w:r>
            <w:r>
              <w:rPr>
                <w:rFonts w:cs="Times New Roman" w:hint="eastAsia"/>
                <w:b/>
                <w:bCs/>
                <w:color w:val="000000"/>
                <w:sz w:val="21"/>
                <w:szCs w:val="21"/>
              </w:rPr>
              <w:t>本次交易相关证券服务机构及经办人员</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、补充本次交易相关证券服务机构及经办人员信息。</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第十六章</w:t>
            </w:r>
            <w:r>
              <w:rPr>
                <w:rFonts w:cs="Times New Roman" w:hint="eastAsia"/>
                <w:b/>
                <w:bCs/>
                <w:color w:val="000000"/>
                <w:sz w:val="21"/>
                <w:szCs w:val="21"/>
              </w:rPr>
              <w:t xml:space="preserve"> </w:t>
            </w:r>
            <w:r>
              <w:rPr>
                <w:rFonts w:cs="Times New Roman" w:hint="eastAsia"/>
                <w:b/>
                <w:bCs/>
                <w:color w:val="000000"/>
                <w:sz w:val="21"/>
                <w:szCs w:val="21"/>
              </w:rPr>
              <w:t>声明与承诺</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第十一章</w:t>
            </w:r>
            <w:r>
              <w:rPr>
                <w:rFonts w:cs="Times New Roman" w:hint="eastAsia"/>
                <w:b/>
                <w:bCs/>
                <w:color w:val="000000"/>
                <w:sz w:val="21"/>
                <w:szCs w:val="21"/>
              </w:rPr>
              <w:t xml:space="preserve"> </w:t>
            </w:r>
            <w:r>
              <w:rPr>
                <w:rFonts w:cs="Times New Roman" w:hint="eastAsia"/>
                <w:b/>
                <w:bCs/>
                <w:color w:val="000000"/>
                <w:sz w:val="21"/>
                <w:szCs w:val="21"/>
              </w:rPr>
              <w:t>声明与承诺</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、更新全体董事、监事及高级管理人员声明；</w:t>
            </w:r>
          </w:p>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、补充</w:t>
            </w:r>
            <w:r>
              <w:rPr>
                <w:rFonts w:ascii="Times New Roman" w:hAnsi="Times New Roman" w:cs="Times New Roman" w:hint="eastAsia"/>
                <w:sz w:val="21"/>
                <w:szCs w:val="21"/>
              </w:rPr>
              <w:t>交易对方、</w:t>
            </w:r>
            <w:r>
              <w:rPr>
                <w:rFonts w:ascii="Times New Roman" w:hAnsi="Times New Roman" w:cs="Times New Roman"/>
                <w:sz w:val="21"/>
                <w:szCs w:val="21"/>
              </w:rPr>
              <w:t>相关中介机构的声明。</w:t>
            </w:r>
          </w:p>
        </w:tc>
      </w:tr>
      <w:tr w:rsidR="004C3E50">
        <w:trPr>
          <w:trHeight w:val="340"/>
          <w:jc w:val="center"/>
        </w:trPr>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第十七章</w:t>
            </w:r>
            <w:r>
              <w:rPr>
                <w:rFonts w:cs="Times New Roman" w:hint="eastAsia"/>
                <w:b/>
                <w:bCs/>
                <w:color w:val="000000"/>
                <w:sz w:val="21"/>
                <w:szCs w:val="21"/>
              </w:rPr>
              <w:t xml:space="preserve"> </w:t>
            </w:r>
            <w:r>
              <w:rPr>
                <w:rFonts w:cs="Times New Roman" w:hint="eastAsia"/>
                <w:b/>
                <w:bCs/>
                <w:color w:val="000000"/>
                <w:sz w:val="21"/>
                <w:szCs w:val="21"/>
              </w:rPr>
              <w:t>备查文件</w:t>
            </w:r>
          </w:p>
        </w:tc>
        <w:tc>
          <w:tcPr>
            <w:tcW w:w="1012" w:type="pct"/>
            <w:shd w:val="clear" w:color="auto" w:fill="auto"/>
            <w:vAlign w:val="center"/>
          </w:tcPr>
          <w:p w:rsidR="004C3E50" w:rsidRDefault="00D30549">
            <w:pPr>
              <w:ind w:leftChars="-30" w:left="-72" w:rightChars="-30" w:right="-72"/>
              <w:jc w:val="center"/>
              <w:rPr>
                <w:rFonts w:cs="Times New Roman"/>
                <w:b/>
                <w:bCs/>
                <w:color w:val="000000"/>
                <w:sz w:val="21"/>
                <w:szCs w:val="21"/>
              </w:rPr>
            </w:pPr>
            <w:r>
              <w:rPr>
                <w:rFonts w:cs="Times New Roman" w:hint="eastAsia"/>
                <w:b/>
                <w:bCs/>
                <w:color w:val="000000"/>
                <w:sz w:val="21"/>
                <w:szCs w:val="21"/>
              </w:rPr>
              <w:t>无</w:t>
            </w:r>
          </w:p>
        </w:tc>
        <w:tc>
          <w:tcPr>
            <w:tcW w:w="2976" w:type="pct"/>
            <w:shd w:val="clear" w:color="auto" w:fill="auto"/>
            <w:vAlign w:val="center"/>
          </w:tcPr>
          <w:p w:rsidR="004C3E50" w:rsidRDefault="00D30549">
            <w:pPr>
              <w:pStyle w:val="Default"/>
              <w:adjustRightInd/>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、补充备查文件及备查地点。</w:t>
            </w:r>
          </w:p>
        </w:tc>
      </w:tr>
    </w:tbl>
    <w:p w:rsidR="004C3E50" w:rsidRDefault="00D30549">
      <w:pPr>
        <w:autoSpaceDE w:val="0"/>
        <w:autoSpaceDN w:val="0"/>
        <w:ind w:firstLineChars="200" w:firstLine="360"/>
        <w:rPr>
          <w:rFonts w:cs="Times New Roman"/>
          <w:color w:val="000000" w:themeColor="text1"/>
          <w:sz w:val="18"/>
          <w:szCs w:val="18"/>
        </w:rPr>
      </w:pPr>
      <w:r>
        <w:rPr>
          <w:rFonts w:cs="Times New Roman" w:hint="eastAsia"/>
          <w:color w:val="000000" w:themeColor="text1"/>
          <w:sz w:val="18"/>
          <w:szCs w:val="18"/>
        </w:rPr>
        <w:t>注：本说明表所述词语或简称与重组报告书“释义”所述词语或简称具有相同含义。</w:t>
      </w:r>
    </w:p>
    <w:p w:rsidR="004C3E50" w:rsidRDefault="00D30549">
      <w:pPr>
        <w:widowControl/>
        <w:jc w:val="left"/>
        <w:rPr>
          <w:rFonts w:cs="Times New Roman"/>
          <w:kern w:val="0"/>
        </w:rPr>
      </w:pPr>
      <w:r>
        <w:rPr>
          <w:rFonts w:cs="Times New Roman"/>
          <w:kern w:val="0"/>
        </w:rPr>
        <w:br w:type="page"/>
      </w:r>
    </w:p>
    <w:p w:rsidR="004C3E50" w:rsidRDefault="0056717F">
      <w:pPr>
        <w:spacing w:beforeLines="25" w:before="78" w:afterLines="25" w:after="78" w:line="360" w:lineRule="auto"/>
        <w:rPr>
          <w:rFonts w:cs="Times New Roman"/>
          <w:szCs w:val="28"/>
        </w:rPr>
      </w:pPr>
      <w:bookmarkStart w:id="0" w:name="_GoBack"/>
      <w:r>
        <w:rPr>
          <w:rFonts w:cs="Times New Roman"/>
          <w:noProof/>
          <w:szCs w:val="28"/>
        </w:rPr>
        <w:lastRenderedPageBreak/>
        <w:drawing>
          <wp:anchor distT="0" distB="0" distL="114300" distR="114300" simplePos="0" relativeHeight="251658240" behindDoc="0" locked="0" layoutInCell="1" allowOverlap="1" wp14:anchorId="33F7C907" wp14:editId="43E7DE1F">
            <wp:simplePos x="0" y="0"/>
            <wp:positionH relativeFrom="column">
              <wp:posOffset>-1150620</wp:posOffset>
            </wp:positionH>
            <wp:positionV relativeFrom="paragraph">
              <wp:posOffset>-914400</wp:posOffset>
            </wp:positionV>
            <wp:extent cx="7560573" cy="9305925"/>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信】1-7 沈阳机床股份有限公司发行股份购买资产并募集配套资金暨关联交易报告书（草案）与预案差异对比表_页面_4.jpg"/>
                    <pic:cNvPicPr/>
                  </pic:nvPicPr>
                  <pic:blipFill rotWithShape="1">
                    <a:blip r:embed="rId8">
                      <a:extLst>
                        <a:ext uri="{28A0092B-C50C-407E-A947-70E740481C1C}">
                          <a14:useLocalDpi xmlns:a14="http://schemas.microsoft.com/office/drawing/2010/main" val="0"/>
                        </a:ext>
                      </a:extLst>
                    </a:blip>
                    <a:srcRect b="13001"/>
                    <a:stretch/>
                  </pic:blipFill>
                  <pic:spPr bwMode="auto">
                    <a:xfrm>
                      <a:off x="0" y="0"/>
                      <a:ext cx="7559675" cy="930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30549">
        <w:rPr>
          <w:rFonts w:cs="Times New Roman"/>
          <w:szCs w:val="28"/>
        </w:rPr>
        <w:t>（本页无正文，为《</w:t>
      </w:r>
      <w:r w:rsidR="00D30549">
        <w:rPr>
          <w:rFonts w:cs="Times New Roman" w:hint="eastAsia"/>
          <w:szCs w:val="28"/>
        </w:rPr>
        <w:t>沈阳机床股份有限公司关于披露发行股份购买资产并募集配套资金暨关联交易报告书（草案）与预案差异情况对比说明</w:t>
      </w:r>
      <w:r w:rsidR="00D30549">
        <w:rPr>
          <w:rFonts w:cs="Times New Roman"/>
          <w:szCs w:val="28"/>
        </w:rPr>
        <w:t>》之盖章页）</w:t>
      </w: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jc w:val="right"/>
        <w:rPr>
          <w:rFonts w:cs="Times New Roman"/>
          <w:szCs w:val="28"/>
        </w:rPr>
      </w:pPr>
    </w:p>
    <w:p w:rsidR="004C3E50" w:rsidRDefault="004C3E50">
      <w:pPr>
        <w:spacing w:beforeLines="25" w:before="78" w:afterLines="25" w:after="78" w:line="360" w:lineRule="auto"/>
        <w:jc w:val="right"/>
        <w:rPr>
          <w:rFonts w:cs="Times New Roman"/>
          <w:szCs w:val="28"/>
        </w:rPr>
      </w:pPr>
    </w:p>
    <w:p w:rsidR="004C3E50" w:rsidRDefault="00D30549">
      <w:pPr>
        <w:spacing w:beforeLines="25" w:before="78" w:afterLines="25" w:after="78" w:line="360" w:lineRule="auto"/>
        <w:jc w:val="right"/>
        <w:rPr>
          <w:rFonts w:cs="Times New Roman"/>
          <w:szCs w:val="28"/>
        </w:rPr>
      </w:pPr>
      <w:r>
        <w:rPr>
          <w:rFonts w:cs="Times New Roman" w:hint="eastAsia"/>
          <w:szCs w:val="28"/>
        </w:rPr>
        <w:t>沈阳机床股份有限公司</w:t>
      </w:r>
    </w:p>
    <w:p w:rsidR="004C3E50" w:rsidRDefault="004C3E50">
      <w:pPr>
        <w:spacing w:beforeLines="25" w:before="78" w:afterLines="25" w:after="78" w:line="360" w:lineRule="auto"/>
        <w:jc w:val="right"/>
        <w:rPr>
          <w:rFonts w:cs="Times New Roman"/>
          <w:szCs w:val="28"/>
        </w:rPr>
      </w:pPr>
    </w:p>
    <w:p w:rsidR="004C3E50" w:rsidRDefault="00D30549">
      <w:pPr>
        <w:wordWrap w:val="0"/>
        <w:spacing w:beforeLines="25" w:before="78" w:afterLines="25" w:after="78" w:line="360" w:lineRule="auto"/>
        <w:jc w:val="right"/>
        <w:rPr>
          <w:rFonts w:cs="Times New Roman"/>
          <w:szCs w:val="28"/>
        </w:rPr>
      </w:pPr>
      <w:r>
        <w:rPr>
          <w:rFonts w:cs="Times New Roman"/>
          <w:szCs w:val="28"/>
        </w:rPr>
        <w:t>年</w:t>
      </w:r>
      <w:r>
        <w:rPr>
          <w:rFonts w:cs="Times New Roman"/>
          <w:szCs w:val="28"/>
        </w:rPr>
        <w:t xml:space="preserve">    </w:t>
      </w:r>
      <w:r>
        <w:rPr>
          <w:rFonts w:cs="Times New Roman"/>
          <w:szCs w:val="28"/>
        </w:rPr>
        <w:t>月</w:t>
      </w:r>
      <w:r>
        <w:rPr>
          <w:rFonts w:cs="Times New Roman"/>
          <w:szCs w:val="28"/>
        </w:rPr>
        <w:t xml:space="preserve">    </w:t>
      </w:r>
      <w:r>
        <w:rPr>
          <w:rFonts w:cs="Times New Roman"/>
          <w:szCs w:val="28"/>
        </w:rPr>
        <w:t>日</w:t>
      </w:r>
    </w:p>
    <w:p w:rsidR="004C3E50" w:rsidRDefault="004C3E50">
      <w:pPr>
        <w:spacing w:beforeLines="25" w:before="78" w:afterLines="25" w:after="78" w:line="360" w:lineRule="auto"/>
        <w:jc w:val="right"/>
        <w:rPr>
          <w:rFonts w:cs="Times New Roman"/>
          <w:szCs w:val="28"/>
        </w:rPr>
      </w:pP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rPr>
          <w:rFonts w:cs="Times New Roman"/>
          <w:szCs w:val="28"/>
        </w:rPr>
      </w:pPr>
    </w:p>
    <w:p w:rsidR="004C3E50" w:rsidRDefault="004C3E50">
      <w:pPr>
        <w:spacing w:beforeLines="25" w:before="78" w:afterLines="25" w:after="78" w:line="360" w:lineRule="auto"/>
        <w:rPr>
          <w:rFonts w:cs="Times New Roman"/>
          <w:szCs w:val="28"/>
        </w:rPr>
      </w:pPr>
    </w:p>
    <w:sectPr w:rsidR="004C3E50">
      <w:headerReference w:type="default"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5F" w:rsidRDefault="0098685F" w:rsidP="0056717F">
      <w:r>
        <w:separator/>
      </w:r>
    </w:p>
  </w:endnote>
  <w:endnote w:type="continuationSeparator" w:id="0">
    <w:p w:rsidR="0098685F" w:rsidRDefault="0098685F" w:rsidP="0056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EC04C9">
    <w:pPr>
      <w:pStyle w:val="a6"/>
      <w:jc w:val="center"/>
      <w:rPr>
        <w:sz w:val="21"/>
        <w:szCs w:val="21"/>
      </w:rPr>
    </w:pPr>
    <w:r w:rsidRPr="00EC04C9">
      <w:rPr>
        <w:sz w:val="21"/>
        <w:szCs w:val="21"/>
      </w:rPr>
      <w:fldChar w:fldCharType="begin"/>
    </w:r>
    <w:r w:rsidRPr="00EC04C9">
      <w:rPr>
        <w:sz w:val="21"/>
        <w:szCs w:val="21"/>
      </w:rPr>
      <w:instrText>PAGE   \* MERGEFORMAT</w:instrText>
    </w:r>
    <w:r w:rsidRPr="00EC04C9">
      <w:rPr>
        <w:sz w:val="21"/>
        <w:szCs w:val="21"/>
      </w:rPr>
      <w:fldChar w:fldCharType="separate"/>
    </w:r>
    <w:r w:rsidR="00676C28" w:rsidRPr="00676C28">
      <w:rPr>
        <w:noProof/>
        <w:sz w:val="21"/>
        <w:szCs w:val="21"/>
        <w:lang w:val="zh-CN"/>
      </w:rPr>
      <w:t>4</w:t>
    </w:r>
    <w:r w:rsidRPr="00EC04C9">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5F" w:rsidRDefault="0098685F" w:rsidP="0056717F">
      <w:r>
        <w:separator/>
      </w:r>
    </w:p>
  </w:footnote>
  <w:footnote w:type="continuationSeparator" w:id="0">
    <w:p w:rsidR="0098685F" w:rsidRDefault="0098685F" w:rsidP="0056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Default="00EC04C9" w:rsidP="00EC04C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11"/>
    <w:rsid w:val="000009C0"/>
    <w:rsid w:val="000058E5"/>
    <w:rsid w:val="00007764"/>
    <w:rsid w:val="000175D1"/>
    <w:rsid w:val="000217C5"/>
    <w:rsid w:val="00025B7A"/>
    <w:rsid w:val="000335CC"/>
    <w:rsid w:val="00045571"/>
    <w:rsid w:val="000460B6"/>
    <w:rsid w:val="00050E19"/>
    <w:rsid w:val="000577FC"/>
    <w:rsid w:val="00057AF0"/>
    <w:rsid w:val="00057BD8"/>
    <w:rsid w:val="00070358"/>
    <w:rsid w:val="00072054"/>
    <w:rsid w:val="00075A53"/>
    <w:rsid w:val="00082005"/>
    <w:rsid w:val="00086FDC"/>
    <w:rsid w:val="00087AD3"/>
    <w:rsid w:val="000921D4"/>
    <w:rsid w:val="00096636"/>
    <w:rsid w:val="0009724A"/>
    <w:rsid w:val="000A00FE"/>
    <w:rsid w:val="000A6AAA"/>
    <w:rsid w:val="000B66A1"/>
    <w:rsid w:val="000C0202"/>
    <w:rsid w:val="000C5E74"/>
    <w:rsid w:val="000C7374"/>
    <w:rsid w:val="000D14EB"/>
    <w:rsid w:val="000D5484"/>
    <w:rsid w:val="000D5877"/>
    <w:rsid w:val="000E0D1C"/>
    <w:rsid w:val="000E273A"/>
    <w:rsid w:val="000E459F"/>
    <w:rsid w:val="000F4868"/>
    <w:rsid w:val="000F4D43"/>
    <w:rsid w:val="000F5C0D"/>
    <w:rsid w:val="00103F3D"/>
    <w:rsid w:val="00107836"/>
    <w:rsid w:val="00113E80"/>
    <w:rsid w:val="001169B8"/>
    <w:rsid w:val="0011736C"/>
    <w:rsid w:val="0012545F"/>
    <w:rsid w:val="00135466"/>
    <w:rsid w:val="00144694"/>
    <w:rsid w:val="001455EC"/>
    <w:rsid w:val="001518DA"/>
    <w:rsid w:val="00152488"/>
    <w:rsid w:val="00156C89"/>
    <w:rsid w:val="00165DDB"/>
    <w:rsid w:val="00166FE7"/>
    <w:rsid w:val="00170CAE"/>
    <w:rsid w:val="00171719"/>
    <w:rsid w:val="00175347"/>
    <w:rsid w:val="0018425E"/>
    <w:rsid w:val="001A1944"/>
    <w:rsid w:val="001A1A78"/>
    <w:rsid w:val="001B461C"/>
    <w:rsid w:val="001B4D72"/>
    <w:rsid w:val="001B7BB8"/>
    <w:rsid w:val="001C405B"/>
    <w:rsid w:val="001C4408"/>
    <w:rsid w:val="001F322C"/>
    <w:rsid w:val="001F4276"/>
    <w:rsid w:val="001F4EB9"/>
    <w:rsid w:val="001F57B2"/>
    <w:rsid w:val="001F5FD7"/>
    <w:rsid w:val="00200A72"/>
    <w:rsid w:val="0020276B"/>
    <w:rsid w:val="00203A48"/>
    <w:rsid w:val="00204583"/>
    <w:rsid w:val="00207515"/>
    <w:rsid w:val="00217560"/>
    <w:rsid w:val="00221811"/>
    <w:rsid w:val="00223C07"/>
    <w:rsid w:val="00225328"/>
    <w:rsid w:val="00230249"/>
    <w:rsid w:val="00233D2C"/>
    <w:rsid w:val="00237180"/>
    <w:rsid w:val="00237431"/>
    <w:rsid w:val="00243134"/>
    <w:rsid w:val="00247C66"/>
    <w:rsid w:val="00255D3E"/>
    <w:rsid w:val="00257370"/>
    <w:rsid w:val="0025795C"/>
    <w:rsid w:val="002604E6"/>
    <w:rsid w:val="00265BF1"/>
    <w:rsid w:val="00272D16"/>
    <w:rsid w:val="00273CF0"/>
    <w:rsid w:val="00274F7C"/>
    <w:rsid w:val="002769F4"/>
    <w:rsid w:val="00276F81"/>
    <w:rsid w:val="002826F5"/>
    <w:rsid w:val="00287411"/>
    <w:rsid w:val="00295A16"/>
    <w:rsid w:val="00295C49"/>
    <w:rsid w:val="002A1AEB"/>
    <w:rsid w:val="002A223A"/>
    <w:rsid w:val="002A409F"/>
    <w:rsid w:val="002A4F7E"/>
    <w:rsid w:val="002A6667"/>
    <w:rsid w:val="002B5EA1"/>
    <w:rsid w:val="002C1C13"/>
    <w:rsid w:val="002C2481"/>
    <w:rsid w:val="002C45E4"/>
    <w:rsid w:val="002D58E6"/>
    <w:rsid w:val="002D5AED"/>
    <w:rsid w:val="002E06CB"/>
    <w:rsid w:val="002E1D6D"/>
    <w:rsid w:val="002E3DB8"/>
    <w:rsid w:val="002F5AC0"/>
    <w:rsid w:val="002F6CE6"/>
    <w:rsid w:val="0030436F"/>
    <w:rsid w:val="00304FD5"/>
    <w:rsid w:val="00306907"/>
    <w:rsid w:val="00306E7F"/>
    <w:rsid w:val="00321F08"/>
    <w:rsid w:val="00337CF5"/>
    <w:rsid w:val="003462B0"/>
    <w:rsid w:val="00357698"/>
    <w:rsid w:val="00357B17"/>
    <w:rsid w:val="003607AB"/>
    <w:rsid w:val="0036425C"/>
    <w:rsid w:val="00372071"/>
    <w:rsid w:val="00372A55"/>
    <w:rsid w:val="00373DA5"/>
    <w:rsid w:val="00375865"/>
    <w:rsid w:val="003771F7"/>
    <w:rsid w:val="0038047D"/>
    <w:rsid w:val="00384BFD"/>
    <w:rsid w:val="00386AD1"/>
    <w:rsid w:val="00392CC4"/>
    <w:rsid w:val="003A0DAC"/>
    <w:rsid w:val="003A5AB4"/>
    <w:rsid w:val="003B4A75"/>
    <w:rsid w:val="003C5AD7"/>
    <w:rsid w:val="003C5D23"/>
    <w:rsid w:val="003C5D79"/>
    <w:rsid w:val="003D450A"/>
    <w:rsid w:val="003D457C"/>
    <w:rsid w:val="003D5C0C"/>
    <w:rsid w:val="003D5FA2"/>
    <w:rsid w:val="003E0855"/>
    <w:rsid w:val="003E0EE4"/>
    <w:rsid w:val="003E28E2"/>
    <w:rsid w:val="003E52F4"/>
    <w:rsid w:val="003F6F64"/>
    <w:rsid w:val="0040315C"/>
    <w:rsid w:val="004051A3"/>
    <w:rsid w:val="00413307"/>
    <w:rsid w:val="004146F3"/>
    <w:rsid w:val="00415718"/>
    <w:rsid w:val="00415CDC"/>
    <w:rsid w:val="00416C7F"/>
    <w:rsid w:val="004244FF"/>
    <w:rsid w:val="0042495E"/>
    <w:rsid w:val="00427C51"/>
    <w:rsid w:val="00430B2D"/>
    <w:rsid w:val="00433F10"/>
    <w:rsid w:val="00450700"/>
    <w:rsid w:val="00464C18"/>
    <w:rsid w:val="00465E25"/>
    <w:rsid w:val="00471571"/>
    <w:rsid w:val="004719AD"/>
    <w:rsid w:val="00474754"/>
    <w:rsid w:val="0048087C"/>
    <w:rsid w:val="0049550C"/>
    <w:rsid w:val="004A0C75"/>
    <w:rsid w:val="004A4F90"/>
    <w:rsid w:val="004A6F48"/>
    <w:rsid w:val="004C3E50"/>
    <w:rsid w:val="004C40DE"/>
    <w:rsid w:val="004C4FC1"/>
    <w:rsid w:val="004C5220"/>
    <w:rsid w:val="004D2A33"/>
    <w:rsid w:val="004D7012"/>
    <w:rsid w:val="004E204A"/>
    <w:rsid w:val="004E3AAC"/>
    <w:rsid w:val="004E4D52"/>
    <w:rsid w:val="004E58AA"/>
    <w:rsid w:val="004E5B71"/>
    <w:rsid w:val="004F0469"/>
    <w:rsid w:val="004F0B6C"/>
    <w:rsid w:val="004F36EF"/>
    <w:rsid w:val="004F4A57"/>
    <w:rsid w:val="004F5A94"/>
    <w:rsid w:val="00510540"/>
    <w:rsid w:val="0051422F"/>
    <w:rsid w:val="00517C17"/>
    <w:rsid w:val="0052085F"/>
    <w:rsid w:val="005270E5"/>
    <w:rsid w:val="005324A2"/>
    <w:rsid w:val="00532A97"/>
    <w:rsid w:val="005331B3"/>
    <w:rsid w:val="0053411A"/>
    <w:rsid w:val="005370C8"/>
    <w:rsid w:val="00537210"/>
    <w:rsid w:val="00540F53"/>
    <w:rsid w:val="005462AC"/>
    <w:rsid w:val="00546564"/>
    <w:rsid w:val="00552A63"/>
    <w:rsid w:val="00554EB4"/>
    <w:rsid w:val="00566DE8"/>
    <w:rsid w:val="0056717F"/>
    <w:rsid w:val="005709A9"/>
    <w:rsid w:val="005736E4"/>
    <w:rsid w:val="00575593"/>
    <w:rsid w:val="00580858"/>
    <w:rsid w:val="00580EFC"/>
    <w:rsid w:val="00582173"/>
    <w:rsid w:val="00582487"/>
    <w:rsid w:val="00585202"/>
    <w:rsid w:val="005875D3"/>
    <w:rsid w:val="00587C0C"/>
    <w:rsid w:val="005909D6"/>
    <w:rsid w:val="00591620"/>
    <w:rsid w:val="005935B4"/>
    <w:rsid w:val="00596AF2"/>
    <w:rsid w:val="00596E23"/>
    <w:rsid w:val="005A082D"/>
    <w:rsid w:val="005A0C81"/>
    <w:rsid w:val="005A10F1"/>
    <w:rsid w:val="005A2834"/>
    <w:rsid w:val="005A5D3E"/>
    <w:rsid w:val="005B2A55"/>
    <w:rsid w:val="005D1FCE"/>
    <w:rsid w:val="005D7173"/>
    <w:rsid w:val="005E550C"/>
    <w:rsid w:val="005F088F"/>
    <w:rsid w:val="005F3702"/>
    <w:rsid w:val="005F67B2"/>
    <w:rsid w:val="005F7D67"/>
    <w:rsid w:val="006033C0"/>
    <w:rsid w:val="0060410B"/>
    <w:rsid w:val="00607CE4"/>
    <w:rsid w:val="00610969"/>
    <w:rsid w:val="00611A9D"/>
    <w:rsid w:val="00612678"/>
    <w:rsid w:val="00616C6B"/>
    <w:rsid w:val="00617F41"/>
    <w:rsid w:val="0062254A"/>
    <w:rsid w:val="0062749B"/>
    <w:rsid w:val="006349E5"/>
    <w:rsid w:val="00636CD2"/>
    <w:rsid w:val="00643DC7"/>
    <w:rsid w:val="006441AE"/>
    <w:rsid w:val="0064464C"/>
    <w:rsid w:val="0064540A"/>
    <w:rsid w:val="00645A84"/>
    <w:rsid w:val="00646972"/>
    <w:rsid w:val="006528C9"/>
    <w:rsid w:val="00653A44"/>
    <w:rsid w:val="0065639D"/>
    <w:rsid w:val="00657928"/>
    <w:rsid w:val="00660FD1"/>
    <w:rsid w:val="00662711"/>
    <w:rsid w:val="00663407"/>
    <w:rsid w:val="00665316"/>
    <w:rsid w:val="00672568"/>
    <w:rsid w:val="00672F58"/>
    <w:rsid w:val="00676692"/>
    <w:rsid w:val="00676C28"/>
    <w:rsid w:val="00677CAA"/>
    <w:rsid w:val="00690C6D"/>
    <w:rsid w:val="0069233D"/>
    <w:rsid w:val="006953D2"/>
    <w:rsid w:val="00696B9F"/>
    <w:rsid w:val="00697868"/>
    <w:rsid w:val="00697F68"/>
    <w:rsid w:val="006A3365"/>
    <w:rsid w:val="006A74DD"/>
    <w:rsid w:val="006A7E73"/>
    <w:rsid w:val="006B0BB1"/>
    <w:rsid w:val="006B2BCC"/>
    <w:rsid w:val="006C3B69"/>
    <w:rsid w:val="006C457E"/>
    <w:rsid w:val="006C4DA7"/>
    <w:rsid w:val="006C5051"/>
    <w:rsid w:val="006D0A8A"/>
    <w:rsid w:val="006D2376"/>
    <w:rsid w:val="006D4554"/>
    <w:rsid w:val="006D67EF"/>
    <w:rsid w:val="006D68DB"/>
    <w:rsid w:val="006E2F38"/>
    <w:rsid w:val="006E67FC"/>
    <w:rsid w:val="006E69E3"/>
    <w:rsid w:val="00700D88"/>
    <w:rsid w:val="00700DBE"/>
    <w:rsid w:val="00703C4F"/>
    <w:rsid w:val="00705EAE"/>
    <w:rsid w:val="00706547"/>
    <w:rsid w:val="007114A0"/>
    <w:rsid w:val="007171A7"/>
    <w:rsid w:val="007232DC"/>
    <w:rsid w:val="00725D26"/>
    <w:rsid w:val="00726A0A"/>
    <w:rsid w:val="00732740"/>
    <w:rsid w:val="00733A36"/>
    <w:rsid w:val="007407B2"/>
    <w:rsid w:val="00742EA9"/>
    <w:rsid w:val="0074671E"/>
    <w:rsid w:val="007512D7"/>
    <w:rsid w:val="0075413E"/>
    <w:rsid w:val="00760485"/>
    <w:rsid w:val="00763736"/>
    <w:rsid w:val="00765659"/>
    <w:rsid w:val="007707B1"/>
    <w:rsid w:val="00771754"/>
    <w:rsid w:val="00772E52"/>
    <w:rsid w:val="007741AE"/>
    <w:rsid w:val="00783810"/>
    <w:rsid w:val="00784649"/>
    <w:rsid w:val="00787673"/>
    <w:rsid w:val="00790853"/>
    <w:rsid w:val="00793C2E"/>
    <w:rsid w:val="007A2561"/>
    <w:rsid w:val="007A6EA7"/>
    <w:rsid w:val="007B0661"/>
    <w:rsid w:val="007B6E39"/>
    <w:rsid w:val="007B70FC"/>
    <w:rsid w:val="007C7103"/>
    <w:rsid w:val="007D11EB"/>
    <w:rsid w:val="007D66B1"/>
    <w:rsid w:val="007E10E6"/>
    <w:rsid w:val="007E19FC"/>
    <w:rsid w:val="007E4878"/>
    <w:rsid w:val="007F1B67"/>
    <w:rsid w:val="007F3A95"/>
    <w:rsid w:val="008024FC"/>
    <w:rsid w:val="008039B2"/>
    <w:rsid w:val="00804157"/>
    <w:rsid w:val="008042B6"/>
    <w:rsid w:val="008053A4"/>
    <w:rsid w:val="0080653C"/>
    <w:rsid w:val="008238C4"/>
    <w:rsid w:val="00834267"/>
    <w:rsid w:val="0083600E"/>
    <w:rsid w:val="00836E58"/>
    <w:rsid w:val="008412FA"/>
    <w:rsid w:val="00842223"/>
    <w:rsid w:val="008463F6"/>
    <w:rsid w:val="00855D9C"/>
    <w:rsid w:val="008574D2"/>
    <w:rsid w:val="00865971"/>
    <w:rsid w:val="00866E3D"/>
    <w:rsid w:val="00873FA5"/>
    <w:rsid w:val="00874408"/>
    <w:rsid w:val="008754F4"/>
    <w:rsid w:val="00881E29"/>
    <w:rsid w:val="008925E3"/>
    <w:rsid w:val="008927DB"/>
    <w:rsid w:val="008A6BE1"/>
    <w:rsid w:val="008A7A20"/>
    <w:rsid w:val="008A7F75"/>
    <w:rsid w:val="008B3CF6"/>
    <w:rsid w:val="008B4F9A"/>
    <w:rsid w:val="008C2A94"/>
    <w:rsid w:val="008C6FCD"/>
    <w:rsid w:val="008C7AF7"/>
    <w:rsid w:val="008D103B"/>
    <w:rsid w:val="008D621F"/>
    <w:rsid w:val="008E2705"/>
    <w:rsid w:val="008E2F2A"/>
    <w:rsid w:val="008E329D"/>
    <w:rsid w:val="008E33AA"/>
    <w:rsid w:val="008E3E03"/>
    <w:rsid w:val="008E4F7F"/>
    <w:rsid w:val="008E58CF"/>
    <w:rsid w:val="008E6524"/>
    <w:rsid w:val="008E7C9B"/>
    <w:rsid w:val="008F0731"/>
    <w:rsid w:val="008F0915"/>
    <w:rsid w:val="008F2F75"/>
    <w:rsid w:val="008F35FC"/>
    <w:rsid w:val="008F3AE2"/>
    <w:rsid w:val="00900E36"/>
    <w:rsid w:val="009012A4"/>
    <w:rsid w:val="00901F89"/>
    <w:rsid w:val="0090265F"/>
    <w:rsid w:val="00910B12"/>
    <w:rsid w:val="00913F9C"/>
    <w:rsid w:val="00916F30"/>
    <w:rsid w:val="0091799F"/>
    <w:rsid w:val="009201D0"/>
    <w:rsid w:val="009246D1"/>
    <w:rsid w:val="00933E5B"/>
    <w:rsid w:val="00933E94"/>
    <w:rsid w:val="009401BA"/>
    <w:rsid w:val="0094270F"/>
    <w:rsid w:val="00942A30"/>
    <w:rsid w:val="009436E2"/>
    <w:rsid w:val="00943A8D"/>
    <w:rsid w:val="00957275"/>
    <w:rsid w:val="00957A30"/>
    <w:rsid w:val="009607E5"/>
    <w:rsid w:val="00962221"/>
    <w:rsid w:val="00963D44"/>
    <w:rsid w:val="0096554F"/>
    <w:rsid w:val="00975E93"/>
    <w:rsid w:val="00976622"/>
    <w:rsid w:val="00976F81"/>
    <w:rsid w:val="00986354"/>
    <w:rsid w:val="0098685F"/>
    <w:rsid w:val="00991E81"/>
    <w:rsid w:val="009935F8"/>
    <w:rsid w:val="00993960"/>
    <w:rsid w:val="00993B87"/>
    <w:rsid w:val="00995C10"/>
    <w:rsid w:val="009970CC"/>
    <w:rsid w:val="009A119A"/>
    <w:rsid w:val="009A2395"/>
    <w:rsid w:val="009A38FC"/>
    <w:rsid w:val="009B1C68"/>
    <w:rsid w:val="009B2B5D"/>
    <w:rsid w:val="009B3873"/>
    <w:rsid w:val="009B3F12"/>
    <w:rsid w:val="009B5A01"/>
    <w:rsid w:val="009B7052"/>
    <w:rsid w:val="009C11AA"/>
    <w:rsid w:val="009C19DA"/>
    <w:rsid w:val="009C27E8"/>
    <w:rsid w:val="009C4EC6"/>
    <w:rsid w:val="009D0635"/>
    <w:rsid w:val="009D1199"/>
    <w:rsid w:val="009E17D6"/>
    <w:rsid w:val="009E35A3"/>
    <w:rsid w:val="009E4865"/>
    <w:rsid w:val="009F203A"/>
    <w:rsid w:val="009F4217"/>
    <w:rsid w:val="00A0001E"/>
    <w:rsid w:val="00A012FE"/>
    <w:rsid w:val="00A01FDF"/>
    <w:rsid w:val="00A02246"/>
    <w:rsid w:val="00A14F0F"/>
    <w:rsid w:val="00A16014"/>
    <w:rsid w:val="00A23AF0"/>
    <w:rsid w:val="00A2439C"/>
    <w:rsid w:val="00A27C80"/>
    <w:rsid w:val="00A302C0"/>
    <w:rsid w:val="00A30B95"/>
    <w:rsid w:val="00A31EE2"/>
    <w:rsid w:val="00A42A9F"/>
    <w:rsid w:val="00A449DA"/>
    <w:rsid w:val="00A46F2F"/>
    <w:rsid w:val="00A5132A"/>
    <w:rsid w:val="00A532CB"/>
    <w:rsid w:val="00A53793"/>
    <w:rsid w:val="00A53840"/>
    <w:rsid w:val="00A55C31"/>
    <w:rsid w:val="00A57956"/>
    <w:rsid w:val="00A729B0"/>
    <w:rsid w:val="00A738B6"/>
    <w:rsid w:val="00A750EB"/>
    <w:rsid w:val="00A847D9"/>
    <w:rsid w:val="00A87B61"/>
    <w:rsid w:val="00A927CF"/>
    <w:rsid w:val="00AA1721"/>
    <w:rsid w:val="00AA17B8"/>
    <w:rsid w:val="00AA18DD"/>
    <w:rsid w:val="00AA3166"/>
    <w:rsid w:val="00AA3EE3"/>
    <w:rsid w:val="00AB3B23"/>
    <w:rsid w:val="00AC7DF7"/>
    <w:rsid w:val="00AD654E"/>
    <w:rsid w:val="00AE0AC0"/>
    <w:rsid w:val="00AE1050"/>
    <w:rsid w:val="00AE2122"/>
    <w:rsid w:val="00AF2E1F"/>
    <w:rsid w:val="00AF32F3"/>
    <w:rsid w:val="00AF428B"/>
    <w:rsid w:val="00B03A28"/>
    <w:rsid w:val="00B05B82"/>
    <w:rsid w:val="00B13066"/>
    <w:rsid w:val="00B15805"/>
    <w:rsid w:val="00B1581A"/>
    <w:rsid w:val="00B15D71"/>
    <w:rsid w:val="00B22311"/>
    <w:rsid w:val="00B2769B"/>
    <w:rsid w:val="00B3735B"/>
    <w:rsid w:val="00B4506B"/>
    <w:rsid w:val="00B50EB8"/>
    <w:rsid w:val="00B54598"/>
    <w:rsid w:val="00B5605F"/>
    <w:rsid w:val="00B6128B"/>
    <w:rsid w:val="00B61C5B"/>
    <w:rsid w:val="00B61CD2"/>
    <w:rsid w:val="00B61D6E"/>
    <w:rsid w:val="00B654B4"/>
    <w:rsid w:val="00B7064E"/>
    <w:rsid w:val="00B7184C"/>
    <w:rsid w:val="00B73A78"/>
    <w:rsid w:val="00B76156"/>
    <w:rsid w:val="00B7711C"/>
    <w:rsid w:val="00B771AF"/>
    <w:rsid w:val="00B805A4"/>
    <w:rsid w:val="00B807F1"/>
    <w:rsid w:val="00B819B7"/>
    <w:rsid w:val="00B84B8A"/>
    <w:rsid w:val="00B84FD4"/>
    <w:rsid w:val="00B93570"/>
    <w:rsid w:val="00BA0AE9"/>
    <w:rsid w:val="00BB1C73"/>
    <w:rsid w:val="00BB680A"/>
    <w:rsid w:val="00BC2D4B"/>
    <w:rsid w:val="00BC3028"/>
    <w:rsid w:val="00BD6499"/>
    <w:rsid w:val="00BD6EC9"/>
    <w:rsid w:val="00BE40DE"/>
    <w:rsid w:val="00BE4824"/>
    <w:rsid w:val="00BE62D6"/>
    <w:rsid w:val="00BE6D3A"/>
    <w:rsid w:val="00C02958"/>
    <w:rsid w:val="00C06C84"/>
    <w:rsid w:val="00C11213"/>
    <w:rsid w:val="00C20A28"/>
    <w:rsid w:val="00C247F2"/>
    <w:rsid w:val="00C34BFB"/>
    <w:rsid w:val="00C36F5E"/>
    <w:rsid w:val="00C40535"/>
    <w:rsid w:val="00C41BCA"/>
    <w:rsid w:val="00C42BCF"/>
    <w:rsid w:val="00C45E49"/>
    <w:rsid w:val="00C5362A"/>
    <w:rsid w:val="00C57258"/>
    <w:rsid w:val="00C71AE8"/>
    <w:rsid w:val="00C73F70"/>
    <w:rsid w:val="00C73F87"/>
    <w:rsid w:val="00C74C5F"/>
    <w:rsid w:val="00C7672B"/>
    <w:rsid w:val="00C76E2E"/>
    <w:rsid w:val="00C84293"/>
    <w:rsid w:val="00C84B6C"/>
    <w:rsid w:val="00C853A9"/>
    <w:rsid w:val="00C86447"/>
    <w:rsid w:val="00C877FF"/>
    <w:rsid w:val="00C94437"/>
    <w:rsid w:val="00C96CE0"/>
    <w:rsid w:val="00C96E5C"/>
    <w:rsid w:val="00C977DF"/>
    <w:rsid w:val="00CA1DF7"/>
    <w:rsid w:val="00CA47E5"/>
    <w:rsid w:val="00CA7E38"/>
    <w:rsid w:val="00CB2239"/>
    <w:rsid w:val="00CB3CA6"/>
    <w:rsid w:val="00CB5DE6"/>
    <w:rsid w:val="00CB68C8"/>
    <w:rsid w:val="00CC375C"/>
    <w:rsid w:val="00CC720B"/>
    <w:rsid w:val="00CD5E5D"/>
    <w:rsid w:val="00CD5F45"/>
    <w:rsid w:val="00CD758A"/>
    <w:rsid w:val="00CE0E8D"/>
    <w:rsid w:val="00CE43DD"/>
    <w:rsid w:val="00CE63CE"/>
    <w:rsid w:val="00CF646C"/>
    <w:rsid w:val="00D001FF"/>
    <w:rsid w:val="00D00B28"/>
    <w:rsid w:val="00D00C77"/>
    <w:rsid w:val="00D03F70"/>
    <w:rsid w:val="00D05BA1"/>
    <w:rsid w:val="00D0784D"/>
    <w:rsid w:val="00D1677F"/>
    <w:rsid w:val="00D2222E"/>
    <w:rsid w:val="00D266E2"/>
    <w:rsid w:val="00D272AF"/>
    <w:rsid w:val="00D30549"/>
    <w:rsid w:val="00D34D91"/>
    <w:rsid w:val="00D350E4"/>
    <w:rsid w:val="00D41939"/>
    <w:rsid w:val="00D4228E"/>
    <w:rsid w:val="00D43077"/>
    <w:rsid w:val="00D52069"/>
    <w:rsid w:val="00D52A39"/>
    <w:rsid w:val="00D52AD2"/>
    <w:rsid w:val="00D54F2D"/>
    <w:rsid w:val="00D55D11"/>
    <w:rsid w:val="00D632F6"/>
    <w:rsid w:val="00D63807"/>
    <w:rsid w:val="00D64289"/>
    <w:rsid w:val="00D663EB"/>
    <w:rsid w:val="00D668E4"/>
    <w:rsid w:val="00D66F30"/>
    <w:rsid w:val="00D67E05"/>
    <w:rsid w:val="00D73E9B"/>
    <w:rsid w:val="00D76755"/>
    <w:rsid w:val="00D81397"/>
    <w:rsid w:val="00D83F23"/>
    <w:rsid w:val="00D866A8"/>
    <w:rsid w:val="00D8733D"/>
    <w:rsid w:val="00D92D34"/>
    <w:rsid w:val="00D9687F"/>
    <w:rsid w:val="00D9694D"/>
    <w:rsid w:val="00D96D7C"/>
    <w:rsid w:val="00DA0E33"/>
    <w:rsid w:val="00DB2E05"/>
    <w:rsid w:val="00DB5CCE"/>
    <w:rsid w:val="00DC1BC2"/>
    <w:rsid w:val="00DC3E8B"/>
    <w:rsid w:val="00DC6029"/>
    <w:rsid w:val="00DC761B"/>
    <w:rsid w:val="00DE34B1"/>
    <w:rsid w:val="00DE3E0C"/>
    <w:rsid w:val="00DE7477"/>
    <w:rsid w:val="00DF147F"/>
    <w:rsid w:val="00DF589C"/>
    <w:rsid w:val="00DF6305"/>
    <w:rsid w:val="00E02D55"/>
    <w:rsid w:val="00E12A45"/>
    <w:rsid w:val="00E13D63"/>
    <w:rsid w:val="00E16E0A"/>
    <w:rsid w:val="00E17D7F"/>
    <w:rsid w:val="00E24C51"/>
    <w:rsid w:val="00E24E7C"/>
    <w:rsid w:val="00E2587D"/>
    <w:rsid w:val="00E273AF"/>
    <w:rsid w:val="00E30D88"/>
    <w:rsid w:val="00E32879"/>
    <w:rsid w:val="00E35E13"/>
    <w:rsid w:val="00E53281"/>
    <w:rsid w:val="00E55E1B"/>
    <w:rsid w:val="00E60272"/>
    <w:rsid w:val="00E6582C"/>
    <w:rsid w:val="00E66375"/>
    <w:rsid w:val="00E71555"/>
    <w:rsid w:val="00E74DF9"/>
    <w:rsid w:val="00E76875"/>
    <w:rsid w:val="00E771AB"/>
    <w:rsid w:val="00E831F0"/>
    <w:rsid w:val="00E83ECD"/>
    <w:rsid w:val="00E859A0"/>
    <w:rsid w:val="00E85EE7"/>
    <w:rsid w:val="00E86DB1"/>
    <w:rsid w:val="00E92305"/>
    <w:rsid w:val="00EA002A"/>
    <w:rsid w:val="00EA0736"/>
    <w:rsid w:val="00EA3F60"/>
    <w:rsid w:val="00EB1E74"/>
    <w:rsid w:val="00EB3868"/>
    <w:rsid w:val="00EC04C9"/>
    <w:rsid w:val="00EC0570"/>
    <w:rsid w:val="00EC4574"/>
    <w:rsid w:val="00EC5EAD"/>
    <w:rsid w:val="00EE50AE"/>
    <w:rsid w:val="00EF3FAB"/>
    <w:rsid w:val="00EF6D55"/>
    <w:rsid w:val="00EF6FC7"/>
    <w:rsid w:val="00F01550"/>
    <w:rsid w:val="00F026C6"/>
    <w:rsid w:val="00F042F5"/>
    <w:rsid w:val="00F0459B"/>
    <w:rsid w:val="00F0495B"/>
    <w:rsid w:val="00F04EBC"/>
    <w:rsid w:val="00F05BED"/>
    <w:rsid w:val="00F0765E"/>
    <w:rsid w:val="00F101CF"/>
    <w:rsid w:val="00F10E2C"/>
    <w:rsid w:val="00F11478"/>
    <w:rsid w:val="00F1349A"/>
    <w:rsid w:val="00F13BA1"/>
    <w:rsid w:val="00F2706F"/>
    <w:rsid w:val="00F30276"/>
    <w:rsid w:val="00F3175F"/>
    <w:rsid w:val="00F41CD7"/>
    <w:rsid w:val="00F52158"/>
    <w:rsid w:val="00F53FD8"/>
    <w:rsid w:val="00F55FE3"/>
    <w:rsid w:val="00F65307"/>
    <w:rsid w:val="00F66559"/>
    <w:rsid w:val="00F702B4"/>
    <w:rsid w:val="00F733BA"/>
    <w:rsid w:val="00F73B4B"/>
    <w:rsid w:val="00F74B81"/>
    <w:rsid w:val="00F76A29"/>
    <w:rsid w:val="00F804DB"/>
    <w:rsid w:val="00F80DE6"/>
    <w:rsid w:val="00F81BB0"/>
    <w:rsid w:val="00F827BC"/>
    <w:rsid w:val="00F858DA"/>
    <w:rsid w:val="00F86733"/>
    <w:rsid w:val="00F90E01"/>
    <w:rsid w:val="00F929C3"/>
    <w:rsid w:val="00F9378B"/>
    <w:rsid w:val="00F93D45"/>
    <w:rsid w:val="00F94F24"/>
    <w:rsid w:val="00F95221"/>
    <w:rsid w:val="00F95554"/>
    <w:rsid w:val="00F9667B"/>
    <w:rsid w:val="00F978BB"/>
    <w:rsid w:val="00FA2053"/>
    <w:rsid w:val="00FA2EB9"/>
    <w:rsid w:val="00FA4A89"/>
    <w:rsid w:val="00FA4C63"/>
    <w:rsid w:val="00FA7EF0"/>
    <w:rsid w:val="00FB24D2"/>
    <w:rsid w:val="00FB6EE9"/>
    <w:rsid w:val="00FB7FEC"/>
    <w:rsid w:val="00FC29C8"/>
    <w:rsid w:val="00FC6634"/>
    <w:rsid w:val="00FC6929"/>
    <w:rsid w:val="00FD0C66"/>
    <w:rsid w:val="00FD21B5"/>
    <w:rsid w:val="00FD5242"/>
    <w:rsid w:val="00FD6E7C"/>
    <w:rsid w:val="00FE00DC"/>
    <w:rsid w:val="00FE3402"/>
    <w:rsid w:val="00FF0A5C"/>
    <w:rsid w:val="00FF178B"/>
    <w:rsid w:val="00FF1D26"/>
    <w:rsid w:val="00FF3978"/>
    <w:rsid w:val="1E813F54"/>
    <w:rsid w:val="247817F1"/>
    <w:rsid w:val="24DB56DB"/>
    <w:rsid w:val="2F9B00F0"/>
    <w:rsid w:val="4C5C01AD"/>
    <w:rsid w:val="5B7C3DA5"/>
    <w:rsid w:val="63055325"/>
    <w:rsid w:val="69101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4"/>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semiHidden/>
    <w:qFormat/>
    <w:rPr>
      <w:b/>
      <w:bCs/>
      <w:kern w:val="2"/>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
    <w:name w:val="文档结构图 Char"/>
    <w:basedOn w:val="a0"/>
    <w:link w:val="a3"/>
    <w:uiPriority w:val="99"/>
    <w:semiHidden/>
    <w:qFormat/>
    <w:rPr>
      <w:rFonts w:ascii="宋体" w:eastAsia="宋体"/>
      <w:sz w:val="18"/>
      <w:szCs w:val="18"/>
    </w:rPr>
  </w:style>
  <w:style w:type="table" w:customStyle="1" w:styleId="40">
    <w:name w:val="网格型40"/>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8"/>
    <w:uiPriority w:val="99"/>
    <w:semiHidden/>
    <w:qFormat/>
    <w:rPr>
      <w:b/>
      <w:bCs/>
      <w:kern w:val="2"/>
      <w:sz w:val="21"/>
      <w:szCs w:val="22"/>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qFormat/>
    <w:pPr>
      <w:ind w:firstLineChars="200" w:firstLine="420"/>
    </w:pPr>
  </w:style>
  <w:style w:type="paragraph" w:customStyle="1" w:styleId="1">
    <w:name w:val="修订1"/>
    <w:hidden/>
    <w:uiPriority w:val="99"/>
    <w:semiHidden/>
    <w:qFormat/>
    <w:rPr>
      <w:rFonts w:ascii="Times New Roman" w:eastAsia="宋体" w:hAnsi="Times New Roman"/>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4"/>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semiHidden/>
    <w:qFormat/>
    <w:rPr>
      <w:b/>
      <w:bCs/>
      <w:kern w:val="2"/>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
    <w:name w:val="文档结构图 Char"/>
    <w:basedOn w:val="a0"/>
    <w:link w:val="a3"/>
    <w:uiPriority w:val="99"/>
    <w:semiHidden/>
    <w:qFormat/>
    <w:rPr>
      <w:rFonts w:ascii="宋体" w:eastAsia="宋体"/>
      <w:sz w:val="18"/>
      <w:szCs w:val="18"/>
    </w:rPr>
  </w:style>
  <w:style w:type="table" w:customStyle="1" w:styleId="40">
    <w:name w:val="网格型40"/>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8"/>
    <w:uiPriority w:val="99"/>
    <w:semiHidden/>
    <w:qFormat/>
    <w:rPr>
      <w:b/>
      <w:bCs/>
      <w:kern w:val="2"/>
      <w:sz w:val="21"/>
      <w:szCs w:val="22"/>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qFormat/>
    <w:pPr>
      <w:ind w:firstLineChars="200" w:firstLine="420"/>
    </w:pPr>
  </w:style>
  <w:style w:type="paragraph" w:customStyle="1" w:styleId="1">
    <w:name w:val="修订1"/>
    <w:hidden/>
    <w:uiPriority w:val="99"/>
    <w:semiHidden/>
    <w:qFormat/>
    <w:rPr>
      <w:rFonts w:ascii="Times New Roman" w:eastAsia="宋体"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4D26-96E7-42CC-B415-019210E6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win10</cp:lastModifiedBy>
  <cp:revision>56</cp:revision>
  <dcterms:created xsi:type="dcterms:W3CDTF">2020-06-16T04:54:00Z</dcterms:created>
  <dcterms:modified xsi:type="dcterms:W3CDTF">2024-04-01T09:21:00Z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380BB85E6CAD41BFBCDBF11141EE8C27</vt:lpwstr>
  </property>
</Properties>
</file>